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0"/>
        <w:rPr>
          <w:b/>
          <w:spacing w:val="-70"/>
          <w:sz w:val="72"/>
          <w:szCs w:val="72"/>
        </w:rPr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rFonts w:hint="default"/>
          <w:b/>
          <w:sz w:val="52"/>
          <w:szCs w:val="52"/>
          <w:lang w:val="en-US" w:eastAsia="zh-CN"/>
        </w:rPr>
      </w:pPr>
      <w:r>
        <w:rPr>
          <w:rFonts w:hint="eastAsia"/>
          <w:b/>
          <w:sz w:val="52"/>
          <w:szCs w:val="52"/>
          <w:lang w:val="en-US" w:eastAsia="zh-CN"/>
        </w:rPr>
        <w:t>豫信公共资源交易平台采购项目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供应商</w:t>
      </w:r>
      <w:r>
        <w:rPr>
          <w:b/>
          <w:sz w:val="52"/>
          <w:szCs w:val="52"/>
        </w:rPr>
        <w:t>操作手册</w:t>
      </w: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0" w:firstLineChars="0"/>
      </w:pPr>
    </w:p>
    <w:p>
      <w:pPr>
        <w:spacing w:line="240" w:lineRule="auto"/>
        <w:ind w:firstLine="0" w:firstLineChars="0"/>
        <w:jc w:val="center"/>
        <w:rPr>
          <w:b/>
          <w:spacing w:val="200"/>
          <w:sz w:val="32"/>
        </w:rPr>
      </w:pPr>
      <w:r>
        <w:rPr>
          <w:b/>
          <w:spacing w:val="200"/>
          <w:sz w:val="32"/>
        </w:rPr>
        <w:t>目录</w:t>
      </w:r>
    </w:p>
    <w:p>
      <w:pPr>
        <w:pStyle w:val="29"/>
        <w:tabs>
          <w:tab w:val="right" w:leader="dot" w:pos="8266"/>
        </w:tabs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TOC \o "4-5" \h \z \t "标题 1,1,标题 2,2,标题 3,3" </w:instrText>
      </w:r>
      <w:r>
        <w:rPr>
          <w:rFonts w:cs="Times New Roman"/>
        </w:rPr>
        <w:fldChar w:fldCharType="separate"/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HYPERLINK \l _Toc10631 </w:instrText>
      </w:r>
      <w:r>
        <w:rPr>
          <w:rFonts w:cs="Times New Roman"/>
        </w:rPr>
        <w:fldChar w:fldCharType="separate"/>
      </w:r>
      <w:r>
        <w:rPr>
          <w:rFonts w:hint="eastAsia"/>
          <w:lang w:val="en-US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_Toc10631 </w:instrText>
      </w:r>
      <w:r>
        <w:fldChar w:fldCharType="separate"/>
      </w:r>
      <w:r>
        <w:t>2</w:t>
      </w:r>
      <w:r>
        <w:fldChar w:fldCharType="end"/>
      </w:r>
      <w:r>
        <w:rPr>
          <w:rFonts w:cs="Times New Roman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_Toc31644 </w:instrText>
      </w:r>
      <w:r>
        <w:rPr>
          <w:szCs w:val="20"/>
        </w:rPr>
        <w:fldChar w:fldCharType="separate"/>
      </w:r>
      <w:r>
        <w:rPr>
          <w:rFonts w:hint="eastAsia"/>
          <w:szCs w:val="30"/>
          <w:lang w:val="en-US" w:eastAsia="zh-CN"/>
        </w:rPr>
        <w:t xml:space="preserve">1.1、 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驱动安装说明</w:t>
      </w:r>
      <w:r>
        <w:tab/>
      </w:r>
      <w:r>
        <w:fldChar w:fldCharType="begin"/>
      </w:r>
      <w:r>
        <w:instrText xml:space="preserve"> PAGEREF _Toc31644 </w:instrText>
      </w:r>
      <w:r>
        <w:fldChar w:fldCharType="separate"/>
      </w:r>
      <w:r>
        <w:t>2</w:t>
      </w:r>
      <w:r>
        <w:fldChar w:fldCharType="end"/>
      </w:r>
      <w:r>
        <w:rPr>
          <w:szCs w:val="20"/>
        </w:rPr>
        <w:fldChar w:fldCharType="end"/>
      </w:r>
    </w:p>
    <w:p>
      <w:pPr>
        <w:pStyle w:val="21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_Toc193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1.1.1、 </w:t>
      </w:r>
      <w:r>
        <w:rPr>
          <w:rFonts w:hint="eastAsia"/>
          <w:lang w:val="en-US" w:eastAsia="zh-CN"/>
        </w:rPr>
        <w:t>驱动安装说明</w:t>
      </w:r>
      <w:r>
        <w:tab/>
      </w:r>
      <w:r>
        <w:fldChar w:fldCharType="begin"/>
      </w:r>
      <w:r>
        <w:instrText xml:space="preserve"> PAGEREF _Toc193 </w:instrText>
      </w:r>
      <w:r>
        <w:fldChar w:fldCharType="separate"/>
      </w:r>
      <w:r>
        <w:t>2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_Toc29916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1.2、 </w:t>
      </w:r>
      <w:r>
        <w:t>浏览器配置</w:t>
      </w:r>
      <w:r>
        <w:tab/>
      </w:r>
      <w:r>
        <w:fldChar w:fldCharType="begin"/>
      </w:r>
      <w:r>
        <w:instrText xml:space="preserve"> PAGEREF _Toc29916 </w:instrText>
      </w:r>
      <w:r>
        <w:fldChar w:fldCharType="separate"/>
      </w:r>
      <w:r>
        <w:t>4</w:t>
      </w:r>
      <w:r>
        <w:fldChar w:fldCharType="end"/>
      </w:r>
      <w:r>
        <w:rPr>
          <w:szCs w:val="20"/>
        </w:rPr>
        <w:fldChar w:fldCharType="end"/>
      </w:r>
    </w:p>
    <w:p>
      <w:pPr>
        <w:pStyle w:val="21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_Toc27864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1.2.1、 </w:t>
      </w:r>
      <w:r>
        <w:rPr>
          <w:rFonts w:hint="eastAsia"/>
          <w:lang w:val="en-US" w:eastAsia="zh-CN"/>
        </w:rPr>
        <w:t>可信站点</w:t>
      </w:r>
      <w:r>
        <w:tab/>
      </w:r>
      <w:r>
        <w:fldChar w:fldCharType="begin"/>
      </w:r>
      <w:r>
        <w:instrText xml:space="preserve"> PAGEREF _Toc27864 </w:instrText>
      </w:r>
      <w:r>
        <w:fldChar w:fldCharType="separate"/>
      </w:r>
      <w:r>
        <w:t>4</w:t>
      </w:r>
      <w:r>
        <w:fldChar w:fldCharType="end"/>
      </w:r>
      <w:r>
        <w:rPr>
          <w:szCs w:val="20"/>
        </w:rPr>
        <w:fldChar w:fldCharType="end"/>
      </w:r>
    </w:p>
    <w:p>
      <w:pPr>
        <w:pStyle w:val="21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_Toc11048 </w:instrText>
      </w:r>
      <w:r>
        <w:rPr>
          <w:szCs w:val="20"/>
        </w:rPr>
        <w:fldChar w:fldCharType="separate"/>
      </w:r>
      <w:r>
        <w:rPr>
          <w:rFonts w:hint="eastAsia"/>
          <w:i w:val="0"/>
          <w:lang w:val="en-US" w:eastAsia="zh-CN"/>
        </w:rPr>
        <w:t xml:space="preserve">1.2.2、 </w:t>
      </w:r>
      <w:r>
        <w:rPr>
          <w:rFonts w:hint="eastAsia"/>
          <w:lang w:val="en-US" w:eastAsia="zh-CN"/>
        </w:rPr>
        <w:t>兼容性视图设置</w:t>
      </w:r>
      <w:r>
        <w:tab/>
      </w:r>
      <w:r>
        <w:fldChar w:fldCharType="begin"/>
      </w:r>
      <w:r>
        <w:instrText xml:space="preserve"> PAGEREF _Toc11048 </w:instrText>
      </w:r>
      <w:r>
        <w:fldChar w:fldCharType="separate"/>
      </w:r>
      <w:r>
        <w:t>9</w:t>
      </w:r>
      <w:r>
        <w:fldChar w:fldCharType="end"/>
      </w:r>
      <w:r>
        <w:rPr>
          <w:szCs w:val="20"/>
        </w:rPr>
        <w:fldChar w:fldCharType="end"/>
      </w:r>
    </w:p>
    <w:p>
      <w:pPr>
        <w:pStyle w:val="21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_Toc21471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1.2.3、 </w:t>
      </w:r>
      <w:r>
        <w:t>关闭拦截工具</w:t>
      </w:r>
      <w:r>
        <w:tab/>
      </w:r>
      <w:r>
        <w:fldChar w:fldCharType="begin"/>
      </w:r>
      <w:r>
        <w:instrText xml:space="preserve"> PAGEREF _Toc21471 </w:instrText>
      </w:r>
      <w:r>
        <w:fldChar w:fldCharType="separate"/>
      </w:r>
      <w:r>
        <w:t>11</w:t>
      </w:r>
      <w:r>
        <w:fldChar w:fldCharType="end"/>
      </w:r>
      <w:r>
        <w:rPr>
          <w:szCs w:val="20"/>
        </w:rPr>
        <w:fldChar w:fldCharType="end"/>
      </w:r>
    </w:p>
    <w:p>
      <w:pPr>
        <w:pStyle w:val="29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_Toc27507 </w:instrText>
      </w:r>
      <w:r>
        <w:rPr>
          <w:szCs w:val="20"/>
        </w:rPr>
        <w:fldChar w:fldCharType="separate"/>
      </w:r>
      <w:r>
        <w:rPr>
          <w:rFonts w:hint="eastAsia"/>
          <w:lang w:val="en-US"/>
        </w:rPr>
        <w:t xml:space="preserve">二、 </w:t>
      </w:r>
      <w:r>
        <w:rPr>
          <w:rFonts w:hint="eastAsia"/>
          <w:lang w:val="en-US" w:eastAsia="zh-CN"/>
        </w:rPr>
        <w:t>采购业务</w:t>
      </w:r>
      <w:r>
        <w:tab/>
      </w:r>
      <w:r>
        <w:fldChar w:fldCharType="begin"/>
      </w:r>
      <w:r>
        <w:instrText xml:space="preserve"> PAGEREF _Toc27507 </w:instrText>
      </w:r>
      <w:r>
        <w:fldChar w:fldCharType="separate"/>
      </w:r>
      <w:r>
        <w:t>11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_Toc31098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2.1、 </w:t>
      </w:r>
      <w:r>
        <w:rPr>
          <w:rFonts w:hint="eastAsia"/>
          <w:lang w:val="en-US" w:eastAsia="zh-CN"/>
        </w:rPr>
        <w:t>项目报名</w:t>
      </w:r>
      <w:r>
        <w:tab/>
      </w:r>
      <w:r>
        <w:fldChar w:fldCharType="begin"/>
      </w:r>
      <w:r>
        <w:instrText xml:space="preserve"> PAGEREF _Toc31098 </w:instrText>
      </w:r>
      <w:r>
        <w:fldChar w:fldCharType="separate"/>
      </w:r>
      <w:r>
        <w:t>11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_Toc29516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2.2、 </w:t>
      </w:r>
      <w:r>
        <w:rPr>
          <w:rFonts w:hint="eastAsia"/>
          <w:lang w:val="en-US" w:eastAsia="zh-CN"/>
        </w:rPr>
        <w:t>标书费（技术服务费）缴纳</w:t>
      </w:r>
      <w:r>
        <w:tab/>
      </w:r>
      <w:r>
        <w:fldChar w:fldCharType="begin"/>
      </w:r>
      <w:r>
        <w:instrText xml:space="preserve"> PAGEREF _Toc29516 </w:instrText>
      </w:r>
      <w:r>
        <w:fldChar w:fldCharType="separate"/>
      </w:r>
      <w:r>
        <w:t>12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_Toc29584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2.3、 </w:t>
      </w:r>
      <w:r>
        <w:rPr>
          <w:rFonts w:hint="eastAsia"/>
          <w:lang w:val="en-US" w:eastAsia="zh-CN"/>
        </w:rPr>
        <w:t>领取文件</w:t>
      </w:r>
      <w:r>
        <w:tab/>
      </w:r>
      <w:r>
        <w:fldChar w:fldCharType="begin"/>
      </w:r>
      <w:r>
        <w:instrText xml:space="preserve"> PAGEREF _Toc29584 </w:instrText>
      </w:r>
      <w:r>
        <w:fldChar w:fldCharType="separate"/>
      </w:r>
      <w:r>
        <w:t>14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_Toc23882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2.4、 </w:t>
      </w:r>
      <w:r>
        <w:rPr>
          <w:rFonts w:hint="eastAsia"/>
          <w:lang w:val="en-US" w:eastAsia="zh-CN"/>
        </w:rPr>
        <w:t>下载澄清文件</w:t>
      </w:r>
      <w:r>
        <w:tab/>
      </w:r>
      <w:r>
        <w:fldChar w:fldCharType="begin"/>
      </w:r>
      <w:r>
        <w:instrText xml:space="preserve"> PAGEREF _Toc23882 </w:instrText>
      </w:r>
      <w:r>
        <w:fldChar w:fldCharType="separate"/>
      </w:r>
      <w:r>
        <w:t>16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_Toc1406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2.5、 </w:t>
      </w:r>
      <w:r>
        <w:rPr>
          <w:rFonts w:hint="eastAsia"/>
          <w:lang w:val="en-US" w:eastAsia="zh-CN"/>
        </w:rPr>
        <w:t>上传文件</w:t>
      </w:r>
      <w:r>
        <w:tab/>
      </w:r>
      <w:r>
        <w:fldChar w:fldCharType="begin"/>
      </w:r>
      <w:r>
        <w:instrText xml:space="preserve"> PAGEREF _Toc1406 </w:instrText>
      </w:r>
      <w:r>
        <w:fldChar w:fldCharType="separate"/>
      </w:r>
      <w:r>
        <w:t>17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_Toc11753 </w:instrText>
      </w:r>
      <w:r>
        <w:rPr>
          <w:szCs w:val="20"/>
        </w:rPr>
        <w:fldChar w:fldCharType="separate"/>
      </w:r>
      <w:r>
        <w:rPr>
          <w:rFonts w:hint="eastAsia"/>
          <w:lang w:val="en-US" w:eastAsia="zh-CN"/>
        </w:rPr>
        <w:t>2.5、报价参与</w:t>
      </w:r>
      <w:r>
        <w:tab/>
      </w:r>
      <w:r>
        <w:fldChar w:fldCharType="begin"/>
      </w:r>
      <w:r>
        <w:instrText xml:space="preserve"> PAGEREF _Toc11753 </w:instrText>
      </w:r>
      <w:r>
        <w:fldChar w:fldCharType="separate"/>
      </w:r>
      <w:r>
        <w:t>19</w:t>
      </w:r>
      <w:r>
        <w:fldChar w:fldCharType="end"/>
      </w:r>
      <w:r>
        <w:rPr>
          <w:szCs w:val="20"/>
        </w:rPr>
        <w:fldChar w:fldCharType="end"/>
      </w:r>
    </w:p>
    <w:p>
      <w:pPr>
        <w:pStyle w:val="4"/>
        <w:spacing w:line="240" w:lineRule="auto"/>
        <w:ind w:firstLine="360"/>
      </w:pPr>
      <w:r>
        <w:rPr>
          <w:szCs w:val="20"/>
        </w:rPr>
        <w:fldChar w:fldCharType="end"/>
      </w: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0" w:firstLineChars="0"/>
      </w:pPr>
    </w:p>
    <w:p>
      <w:pPr>
        <w:ind w:firstLine="0" w:firstLineChars="0"/>
        <w:rPr>
          <w:rFonts w:hint="eastAsia"/>
        </w:rPr>
      </w:pPr>
    </w:p>
    <w:p>
      <w:pPr>
        <w:pStyle w:val="2"/>
      </w:pPr>
      <w:bookmarkStart w:id="0" w:name="_Toc404764406"/>
      <w:bookmarkStart w:id="1" w:name="_Toc346183627"/>
      <w:bookmarkStart w:id="2" w:name="_Toc404243487"/>
      <w:bookmarkStart w:id="3" w:name="_Toc346701609"/>
      <w:bookmarkStart w:id="4" w:name="_Toc10631"/>
      <w:bookmarkStart w:id="5" w:name="_Toc404765182"/>
      <w: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3"/>
        <w:rPr>
          <w:lang w:val="en-US" w:eastAsia="zh-CN"/>
        </w:rPr>
      </w:pPr>
      <w:bookmarkStart w:id="6" w:name="_Toc31644"/>
      <w:bookmarkStart w:id="7" w:name="_Toc404764418"/>
      <w:bookmarkStart w:id="8" w:name="_Toc404243499"/>
      <w:bookmarkStart w:id="9" w:name="_Toc346701621"/>
      <w:bookmarkStart w:id="10" w:name="_Toc404765194"/>
      <w:bookmarkStart w:id="11" w:name="_Toc346183639"/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驱动安装说明</w:t>
      </w:r>
      <w:bookmarkEnd w:id="6"/>
    </w:p>
    <w:p>
      <w:pPr>
        <w:pStyle w:val="5"/>
      </w:pPr>
      <w:bookmarkStart w:id="12" w:name="_Toc193"/>
      <w:r>
        <w:rPr>
          <w:rFonts w:hint="eastAsia"/>
          <w:lang w:val="en-US" w:eastAsia="zh-CN"/>
        </w:rPr>
        <w:t>驱动安装说明</w:t>
      </w:r>
      <w:bookmarkEnd w:id="12"/>
    </w:p>
    <w:p>
      <w:pPr>
        <w:ind w:left="0" w:leftChars="0"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登录</w:t>
      </w:r>
      <w:r>
        <w:rPr>
          <w:rFonts w:hint="eastAsia"/>
          <w:sz w:val="28"/>
          <w:szCs w:val="28"/>
        </w:rPr>
        <w:t>河南</w:t>
      </w:r>
      <w:r>
        <w:rPr>
          <w:rFonts w:hint="eastAsia"/>
          <w:sz w:val="28"/>
          <w:szCs w:val="28"/>
          <w:lang w:val="en-US" w:eastAsia="zh-CN"/>
        </w:rPr>
        <w:t>豫信</w:t>
      </w:r>
      <w:r>
        <w:rPr>
          <w:sz w:val="28"/>
          <w:szCs w:val="28"/>
        </w:rPr>
        <w:t>公共资源交易</w:t>
      </w:r>
      <w:r>
        <w:rPr>
          <w:rFonts w:hint="eastAsia"/>
          <w:sz w:val="28"/>
          <w:szCs w:val="28"/>
          <w:lang w:val="en-US" w:eastAsia="zh-CN"/>
        </w:rPr>
        <w:t>平台</w:t>
      </w:r>
      <w:r>
        <w:rPr>
          <w:sz w:val="28"/>
          <w:szCs w:val="28"/>
        </w:rPr>
        <w:t>网</w:t>
      </w:r>
      <w:r>
        <w:rPr>
          <w:rFonts w:hint="eastAsia"/>
          <w:sz w:val="28"/>
          <w:szCs w:val="28"/>
        </w:rPr>
        <w:t>站</w:t>
      </w:r>
      <w:r>
        <w:rPr>
          <w:sz w:val="28"/>
          <w:szCs w:val="28"/>
        </w:rPr>
        <w:t>（</w:t>
      </w:r>
      <w:r>
        <w:rPr>
          <w:rFonts w:hint="eastAsia"/>
          <w:sz w:val="30"/>
          <w:szCs w:val="30"/>
        </w:rPr>
        <w:t>http://www.hnyxggzy.com/</w:t>
      </w:r>
      <w:r>
        <w:rPr>
          <w:sz w:val="28"/>
          <w:szCs w:val="28"/>
        </w:rPr>
        <w:t>），点击</w:t>
      </w: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  <w:lang w:val="en-US" w:eastAsia="zh-CN"/>
        </w:rPr>
        <w:t>交易主体登录</w:t>
      </w:r>
      <w:r>
        <w:rPr>
          <w:rFonts w:hint="eastAsia"/>
          <w:sz w:val="28"/>
          <w:szCs w:val="28"/>
        </w:rPr>
        <w:t>】按钮进入</w:t>
      </w:r>
      <w:r>
        <w:rPr>
          <w:rFonts w:hint="eastAsia"/>
          <w:sz w:val="28"/>
          <w:szCs w:val="28"/>
          <w:lang w:val="en-US" w:eastAsia="zh-CN"/>
        </w:rPr>
        <w:t>交易主体系统登录页面</w:t>
      </w:r>
      <w:r>
        <w:rPr>
          <w:sz w:val="28"/>
          <w:szCs w:val="28"/>
        </w:rPr>
        <w:t>。</w:t>
      </w:r>
    </w:p>
    <w:p>
      <w:pPr>
        <w:ind w:left="0" w:leftChars="0" w:firstLine="0" w:firstLineChars="0"/>
        <w:rPr>
          <w:rFonts w:hint="default"/>
          <w:lang w:val="en-US"/>
        </w:rPr>
      </w:pPr>
      <w:r>
        <w:drawing>
          <wp:inline distT="0" distB="0" distL="114300" distR="114300">
            <wp:extent cx="6183630" cy="3902710"/>
            <wp:effectExtent l="0" t="0" r="3810" b="13970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85" w:leftChars="50" w:hanging="280" w:hangingChars="100"/>
      </w:pPr>
      <w:r>
        <w:rPr>
          <w:rFonts w:hint="eastAsia"/>
          <w:sz w:val="28"/>
          <w:szCs w:val="28"/>
        </w:rPr>
        <w:t>在</w:t>
      </w:r>
      <w:r>
        <w:rPr>
          <w:rFonts w:hint="eastAsia"/>
          <w:sz w:val="28"/>
          <w:szCs w:val="28"/>
          <w:lang w:eastAsia="zh-CN"/>
        </w:rPr>
        <w:t>交易主体</w:t>
      </w:r>
      <w:r>
        <w:rPr>
          <w:rFonts w:hint="eastAsia"/>
          <w:sz w:val="28"/>
          <w:szCs w:val="28"/>
        </w:rPr>
        <w:t>系统登录的界面下载驱动，如下图红框处。</w:t>
      </w:r>
    </w:p>
    <w:p>
      <w:pPr>
        <w:widowControl/>
        <w:jc w:val="left"/>
      </w:pPr>
      <w:r>
        <w:drawing>
          <wp:inline distT="0" distB="0" distL="114300" distR="114300">
            <wp:extent cx="5111115" cy="2376805"/>
            <wp:effectExtent l="0" t="0" r="9525" b="63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rPr>
          <w:rFonts w:hint="eastAsia" w:ascii="宋体" w:hAnsi="宋体" w:cs="宋体"/>
          <w:spacing w:val="4"/>
          <w:sz w:val="28"/>
          <w:szCs w:val="28"/>
        </w:rPr>
      </w:pPr>
      <w:r>
        <w:rPr>
          <w:rFonts w:hint="eastAsia" w:ascii="宋体" w:hAnsi="宋体" w:cs="宋体"/>
          <w:spacing w:val="4"/>
          <w:sz w:val="28"/>
          <w:szCs w:val="28"/>
        </w:rPr>
        <w:t>双击驱动安装程序</w:t>
      </w:r>
      <w:r>
        <w:drawing>
          <wp:inline distT="0" distB="0" distL="114300" distR="114300">
            <wp:extent cx="693420" cy="693420"/>
            <wp:effectExtent l="0" t="0" r="7620" b="762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pacing w:val="4"/>
          <w:sz w:val="28"/>
          <w:szCs w:val="28"/>
        </w:rPr>
        <w:t>，进入安装页面。</w:t>
      </w:r>
      <w:r>
        <w:rPr>
          <w:rFonts w:hint="eastAsia"/>
          <w:spacing w:val="4"/>
          <w:sz w:val="28"/>
          <w:szCs w:val="28"/>
          <w:lang w:val="en-US" w:eastAsia="zh-CN"/>
        </w:rPr>
        <w:t>选择快速安装或自定义安装，自定义安装需自行选择安装位置</w:t>
      </w:r>
      <w:r>
        <w:rPr>
          <w:spacing w:val="4"/>
          <w:sz w:val="28"/>
          <w:szCs w:val="28"/>
        </w:rPr>
        <w:t>。</w:t>
      </w:r>
      <w:r>
        <w:rPr>
          <w:rFonts w:hint="eastAsia" w:ascii="黑体" w:hAnsi="黑体" w:eastAsia="黑体" w:cs="宋体"/>
          <w:b/>
          <w:spacing w:val="4"/>
          <w:sz w:val="28"/>
          <w:szCs w:val="28"/>
        </w:rPr>
        <w:t>注意安装过程中电脑不要插CA锁。</w:t>
      </w:r>
    </w:p>
    <w:p>
      <w:pPr>
        <w:autoSpaceDE w:val="0"/>
        <w:autoSpaceDN w:val="0"/>
        <w:adjustRightInd w:val="0"/>
        <w:spacing w:line="360" w:lineRule="auto"/>
        <w:ind w:right="-20"/>
        <w:jc w:val="center"/>
        <w:rPr>
          <w:rFonts w:hint="eastAsia"/>
        </w:rPr>
      </w:pPr>
      <w:r>
        <w:drawing>
          <wp:inline distT="0" distB="0" distL="114300" distR="114300">
            <wp:extent cx="5715000" cy="4290060"/>
            <wp:effectExtent l="0" t="0" r="0" b="762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eastAsia="宋体"/>
          <w:spacing w:val="4"/>
          <w:lang w:val="en-US" w:eastAsia="zh-CN"/>
        </w:rPr>
      </w:pPr>
      <w:r>
        <w:rPr>
          <w:spacing w:val="4"/>
          <w:sz w:val="28"/>
          <w:szCs w:val="28"/>
        </w:rPr>
        <w:t>运行完毕后，</w:t>
      </w:r>
      <w:r>
        <w:rPr>
          <w:rFonts w:hint="eastAsia"/>
          <w:spacing w:val="4"/>
          <w:sz w:val="28"/>
          <w:szCs w:val="28"/>
        </w:rPr>
        <w:t>点击“完成”，</w:t>
      </w:r>
      <w:r>
        <w:rPr>
          <w:spacing w:val="4"/>
          <w:sz w:val="28"/>
          <w:szCs w:val="28"/>
        </w:rPr>
        <w:t>驱动安装成功。</w:t>
      </w:r>
    </w:p>
    <w:p>
      <w:pPr>
        <w:pStyle w:val="4"/>
        <w:spacing w:line="360" w:lineRule="auto"/>
        <w:ind w:firstLine="0" w:firstLineChars="0"/>
        <w:jc w:val="center"/>
        <w:rPr>
          <w:b/>
          <w:spacing w:val="4"/>
        </w:rPr>
      </w:pPr>
    </w:p>
    <w:p>
      <w:pPr>
        <w:spacing w:line="360" w:lineRule="auto"/>
        <w:jc w:val="center"/>
        <w:rPr>
          <w:spacing w:val="4"/>
        </w:rPr>
      </w:pPr>
      <w:r>
        <w:drawing>
          <wp:inline distT="0" distB="0" distL="114300" distR="114300">
            <wp:extent cx="5715000" cy="4290060"/>
            <wp:effectExtent l="0" t="0" r="0" b="7620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 w:ascii="黑体" w:hAnsi="黑体" w:eastAsia="黑体"/>
          <w:spacing w:val="4"/>
          <w:sz w:val="28"/>
          <w:szCs w:val="28"/>
        </w:rPr>
        <w:t>注意安装过程中电脑不要插CA锁。</w:t>
      </w:r>
    </w:p>
    <w:p>
      <w:pPr>
        <w:pStyle w:val="3"/>
      </w:pPr>
      <w:bookmarkStart w:id="13" w:name="_Toc29916"/>
      <w:r>
        <w:t>浏览器配置</w:t>
      </w:r>
      <w:bookmarkEnd w:id="7"/>
      <w:bookmarkEnd w:id="8"/>
      <w:bookmarkEnd w:id="9"/>
      <w:bookmarkEnd w:id="10"/>
      <w:bookmarkEnd w:id="11"/>
      <w:bookmarkEnd w:id="13"/>
    </w:p>
    <w:p>
      <w:pPr>
        <w:pStyle w:val="5"/>
        <w:widowControl/>
        <w:tabs>
          <w:tab w:val="clear" w:pos="567"/>
        </w:tabs>
      </w:pPr>
      <w:bookmarkStart w:id="14" w:name="_Toc27864"/>
      <w:r>
        <w:rPr>
          <w:rFonts w:hint="eastAsia"/>
          <w:lang w:val="en-US" w:eastAsia="zh-CN"/>
        </w:rPr>
        <w:t>可信站点</w:t>
      </w:r>
      <w:bookmarkEnd w:id="1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注意:请使用IE10以上版本的IE浏览器</w:t>
      </w:r>
    </w:p>
    <w:p>
      <w:pPr>
        <w:pStyle w:val="4"/>
        <w:ind w:left="0" w:leftChars="0" w:firstLine="0"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在正式使用系统之前，请先设置可信站点。</w:t>
      </w:r>
    </w:p>
    <w:p>
      <w:pPr>
        <w:pStyle w:val="4"/>
        <w:ind w:firstLine="0" w:firstLineChars="0"/>
        <w:jc w:val="left"/>
        <w:rPr>
          <w:rFonts w:ascii="宋体" w:hAnsi="宋体"/>
          <w:b/>
        </w:rPr>
      </w:pPr>
      <w:r>
        <w:rPr>
          <w:rFonts w:hint="eastAsia" w:ascii="宋体" w:hAnsi="宋体"/>
          <w:b/>
        </w:rPr>
        <w:t>第1步、打开IE的Internet选项</w:t>
      </w:r>
    </w:p>
    <w:p>
      <w:pPr>
        <w:pStyle w:val="4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打开IE，选择“工具——Internet 选项（0）...”，见下图，</w:t>
      </w:r>
    </w:p>
    <w:p>
      <w:pPr>
        <w:pStyle w:val="4"/>
        <w:ind w:firstLine="0" w:firstLineChars="0"/>
        <w:jc w:val="left"/>
        <w:rPr>
          <w:rFonts w:ascii="宋体" w:hAnsi="宋体"/>
        </w:rPr>
      </w:pPr>
    </w:p>
    <w:p>
      <w:pPr>
        <w:pStyle w:val="4"/>
        <w:ind w:firstLine="0" w:firstLineChars="0"/>
        <w:jc w:val="left"/>
        <w:rPr>
          <w:rFonts w:ascii="宋体" w:hAnsi="宋体"/>
        </w:rPr>
      </w:pPr>
      <w:r>
        <w:drawing>
          <wp:inline distT="0" distB="0" distL="114300" distR="114300">
            <wp:extent cx="5266055" cy="3274695"/>
            <wp:effectExtent l="0" t="0" r="6985" b="1905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jc w:val="left"/>
        <w:rPr>
          <w:rFonts w:ascii="宋体" w:hAnsi="宋体"/>
        </w:rPr>
      </w:pPr>
    </w:p>
    <w:p>
      <w:pPr>
        <w:pStyle w:val="4"/>
        <w:ind w:firstLine="0" w:firstLineChars="0"/>
        <w:jc w:val="left"/>
        <w:rPr>
          <w:rFonts w:ascii="宋体" w:hAnsi="宋体"/>
          <w:b/>
        </w:rPr>
      </w:pPr>
      <w:r>
        <w:rPr>
          <w:rFonts w:hint="eastAsia" w:ascii="宋体" w:hAnsi="宋体"/>
          <w:b/>
        </w:rPr>
        <w:t>第2步、添加可信站点</w:t>
      </w:r>
    </w:p>
    <w:p>
      <w:pPr>
        <w:pStyle w:val="4"/>
        <w:ind w:firstLine="0" w:firstLineChars="0"/>
        <w:jc w:val="left"/>
        <w:rPr>
          <w:rFonts w:ascii="宋体" w:hAnsi="宋体"/>
        </w:rPr>
      </w:pPr>
      <w:r>
        <w:drawing>
          <wp:inline distT="0" distB="0" distL="114300" distR="114300">
            <wp:extent cx="4655820" cy="6134100"/>
            <wp:effectExtent l="0" t="0" r="7620" b="7620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如上图，依次选择标签“安全”——“受信任的站点”（可信站点）——“站点（S）...” ，打开如下图所示的界面，</w:t>
      </w:r>
    </w:p>
    <w:p>
      <w:pPr>
        <w:pStyle w:val="4"/>
        <w:ind w:firstLine="0" w:firstLineChars="0"/>
        <w:jc w:val="left"/>
        <w:rPr>
          <w:rFonts w:hint="eastAsia" w:ascii="宋体" w:hAnsi="宋体"/>
        </w:rPr>
      </w:pPr>
      <w:r>
        <w:drawing>
          <wp:inline distT="0" distB="0" distL="114300" distR="114300">
            <wp:extent cx="5274310" cy="3853815"/>
            <wp:effectExtent l="0" t="0" r="13970" b="1905"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jc w:val="left"/>
        <w:rPr>
          <w:rFonts w:ascii="宋体" w:hAnsi="宋体"/>
        </w:rPr>
      </w:pPr>
    </w:p>
    <w:p>
      <w:pPr>
        <w:pStyle w:val="4"/>
        <w:ind w:firstLine="0" w:firstLineChars="0"/>
        <w:jc w:val="left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/>
        </w:rPr>
        <w:t>输入系统地址http://www.hnyxggzy.com</w:t>
      </w:r>
      <w:r>
        <w:rPr>
          <w:rFonts w:hint="eastAsia" w:ascii="宋体" w:hAnsi="宋体"/>
          <w:lang w:val="en-US" w:eastAsia="zh-CN"/>
        </w:rPr>
        <w:t>后</w:t>
      </w:r>
      <w:r>
        <w:rPr>
          <w:rFonts w:hint="eastAsia" w:ascii="宋体" w:hAnsi="宋体"/>
          <w:lang w:eastAsia="zh-CN"/>
        </w:rPr>
        <w:t>，（</w:t>
      </w:r>
      <w:r>
        <w:rPr>
          <w:rFonts w:hint="eastAsia" w:ascii="宋体" w:hAnsi="宋体"/>
          <w:lang w:val="en-US" w:eastAsia="zh-CN"/>
        </w:rPr>
        <w:t>如果当前IE浏览器已经进入平台网站或系统登录界面，浏览器会自动识别到系统地址</w:t>
      </w:r>
      <w:r>
        <w:rPr>
          <w:rFonts w:hint="eastAsia" w:ascii="宋体" w:hAnsi="宋体"/>
          <w:lang w:eastAsia="zh-CN"/>
        </w:rPr>
        <w:t>）</w:t>
      </w:r>
      <w:r>
        <w:rPr>
          <w:rFonts w:hint="eastAsia" w:ascii="宋体" w:hAnsi="宋体"/>
        </w:rPr>
        <w:t>点【添加】</w:t>
      </w:r>
      <w:r>
        <w:rPr>
          <w:rFonts w:hint="eastAsia" w:ascii="宋体" w:hAnsi="宋体"/>
          <w:lang w:val="en-US" w:eastAsia="zh-CN"/>
        </w:rPr>
        <w:t>后确定。</w:t>
      </w:r>
    </w:p>
    <w:p>
      <w:pPr>
        <w:pStyle w:val="4"/>
        <w:ind w:firstLine="0" w:firstLineChars="0"/>
        <w:jc w:val="left"/>
        <w:rPr>
          <w:rFonts w:ascii="宋体" w:hAnsi="宋体"/>
        </w:rPr>
      </w:pPr>
    </w:p>
    <w:p>
      <w:pPr>
        <w:pStyle w:val="4"/>
        <w:ind w:firstLine="0" w:firstLineChars="0"/>
        <w:jc w:val="left"/>
        <w:rPr>
          <w:rFonts w:ascii="宋体" w:hAnsi="宋体"/>
          <w:b/>
        </w:rPr>
      </w:pPr>
      <w:r>
        <w:rPr>
          <w:rFonts w:hint="eastAsia" w:ascii="宋体" w:hAnsi="宋体"/>
          <w:b/>
        </w:rPr>
        <w:t>第3步、设置可信站点的自定义级别</w:t>
      </w:r>
    </w:p>
    <w:p>
      <w:pPr>
        <w:pStyle w:val="4"/>
        <w:ind w:firstLine="0" w:firstLineChars="0"/>
        <w:jc w:val="left"/>
        <w:rPr>
          <w:rFonts w:ascii="宋体" w:hAnsi="宋体"/>
        </w:rPr>
      </w:pPr>
      <w:r>
        <w:drawing>
          <wp:inline distT="0" distB="0" distL="114300" distR="114300">
            <wp:extent cx="4655820" cy="6134100"/>
            <wp:effectExtent l="0" t="0" r="7620" b="762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如上图，依次选择“安全”——“受信任的站点”（可信站点）——“自定义级别（C）...” ，打开如下图的界面，把其中的“A</w:t>
      </w:r>
      <w:r>
        <w:rPr>
          <w:rFonts w:ascii="宋体" w:hAnsi="宋体"/>
        </w:rPr>
        <w:t>ctivex控件和插件</w:t>
      </w:r>
      <w:r>
        <w:rPr>
          <w:rFonts w:hint="eastAsia" w:ascii="宋体" w:hAnsi="宋体"/>
        </w:rPr>
        <w:t>”</w:t>
      </w:r>
      <w:r>
        <w:rPr>
          <w:rFonts w:ascii="宋体" w:hAnsi="宋体"/>
        </w:rPr>
        <w:t>的设置全部改为启用</w:t>
      </w:r>
      <w:r>
        <w:rPr>
          <w:rFonts w:hint="eastAsia" w:ascii="宋体" w:hAnsi="宋体"/>
        </w:rPr>
        <w:t>，最后点【确定】。</w:t>
      </w:r>
    </w:p>
    <w:p>
      <w:pPr>
        <w:pStyle w:val="4"/>
        <w:ind w:firstLine="0" w:firstLineChars="0"/>
        <w:jc w:val="left"/>
        <w:rPr>
          <w:rFonts w:ascii="宋体" w:hAnsi="宋体"/>
        </w:rPr>
      </w:pPr>
      <w:r>
        <w:drawing>
          <wp:inline distT="0" distB="0" distL="114300" distR="114300">
            <wp:extent cx="4716780" cy="5539740"/>
            <wp:effectExtent l="0" t="0" r="7620" b="762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55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15" w:name="_Toc11048"/>
      <w:r>
        <w:rPr>
          <w:rFonts w:hint="eastAsia"/>
          <w:lang w:val="en-US" w:eastAsia="zh-CN"/>
        </w:rPr>
        <w:t>兼容性视图设置</w:t>
      </w:r>
      <w:bookmarkEnd w:id="15"/>
    </w:p>
    <w:p>
      <w:pPr>
        <w:pStyle w:val="4"/>
        <w:ind w:left="211" w:firstLine="148" w:firstLineChars="62"/>
        <w:rPr>
          <w:rFonts w:hint="default" w:eastAsia="宋体"/>
          <w:lang w:val="en-US" w:eastAsia="zh-CN"/>
        </w:rPr>
      </w:pPr>
      <w:r>
        <w:rPr>
          <w:rFonts w:hint="eastAsia"/>
        </w:rPr>
        <w:t>打开</w:t>
      </w:r>
      <w:r>
        <w:rPr>
          <w:rFonts w:hint="eastAsia"/>
          <w:lang w:val="en-US" w:eastAsia="zh-CN"/>
        </w:rPr>
        <w:t>IE</w:t>
      </w:r>
      <w:r>
        <w:rPr>
          <w:rFonts w:hint="eastAsia"/>
        </w:rPr>
        <w:t>浏览器</w:t>
      </w:r>
      <w:r>
        <w:rPr/>
        <w:sym w:font="Wingdings" w:char="F0E0"/>
      </w:r>
      <w:r>
        <w:rPr>
          <w:rFonts w:hint="eastAsia"/>
        </w:rPr>
        <w:t>工具</w:t>
      </w:r>
      <w:r>
        <w:rPr/>
        <w:sym w:font="Wingdings" w:char="F0E0"/>
      </w:r>
      <w:r>
        <w:rPr>
          <w:rFonts w:hint="eastAsia"/>
        </w:rPr>
        <w:t>兼容性视图设置，将下面地址加入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如下图操作。</w:t>
      </w:r>
    </w:p>
    <w:p>
      <w:pPr>
        <w:pStyle w:val="4"/>
        <w:ind w:left="211" w:firstLine="148" w:firstLineChars="62"/>
        <w:rPr>
          <w:rFonts w:hint="eastAsia" w:ascii="宋体" w:hAnsi="宋体"/>
        </w:rPr>
      </w:pPr>
      <w:r>
        <w:rPr>
          <w:rFonts w:hint="eastAsia" w:ascii="宋体" w:hAnsi="宋体"/>
        </w:rPr>
        <w:fldChar w:fldCharType="begin"/>
      </w:r>
      <w:r>
        <w:rPr>
          <w:rFonts w:hint="eastAsia" w:ascii="宋体" w:hAnsi="宋体"/>
        </w:rPr>
        <w:instrText xml:space="preserve"> HYPERLINK "http://www.hnyxggzy.com" </w:instrText>
      </w:r>
      <w:r>
        <w:rPr>
          <w:rFonts w:hint="eastAsia" w:ascii="宋体" w:hAnsi="宋体"/>
        </w:rPr>
        <w:fldChar w:fldCharType="separate"/>
      </w:r>
      <w:r>
        <w:rPr>
          <w:rStyle w:val="52"/>
          <w:rFonts w:hint="eastAsia" w:ascii="宋体" w:hAnsi="宋体"/>
        </w:rPr>
        <w:t>http://www.hnyxggzy.com</w:t>
      </w:r>
      <w:r>
        <w:rPr>
          <w:rFonts w:hint="eastAsia" w:ascii="宋体" w:hAnsi="宋体"/>
        </w:rPr>
        <w:fldChar w:fldCharType="end"/>
      </w:r>
    </w:p>
    <w:p>
      <w:pPr>
        <w:pStyle w:val="4"/>
        <w:ind w:left="211" w:firstLine="148" w:firstLineChars="62"/>
        <w:rPr>
          <w:rFonts w:hint="eastAsia" w:ascii="宋体" w:hAnsi="宋体"/>
        </w:rPr>
      </w:pPr>
      <w:r>
        <w:rPr>
          <w:rFonts w:hint="eastAsia" w:ascii="宋体" w:hAnsi="宋体"/>
          <w:lang w:eastAsia="zh-CN"/>
        </w:rPr>
        <w:t>（</w:t>
      </w:r>
      <w:r>
        <w:rPr>
          <w:rFonts w:hint="eastAsia" w:ascii="宋体" w:hAnsi="宋体"/>
          <w:lang w:val="en-US" w:eastAsia="zh-CN"/>
        </w:rPr>
        <w:t>如果当前IE浏览器已经进入平台网站或系统登录界面，浏览器会自动识别到系统地址，可以直接点击添加，无需手动输入</w:t>
      </w:r>
      <w:r>
        <w:rPr>
          <w:rFonts w:hint="eastAsia" w:ascii="宋体" w:hAnsi="宋体"/>
          <w:lang w:eastAsia="zh-CN"/>
        </w:rPr>
        <w:t>）</w:t>
      </w:r>
    </w:p>
    <w:p>
      <w:r>
        <w:drawing>
          <wp:inline distT="0" distB="0" distL="114300" distR="114300">
            <wp:extent cx="4616450" cy="3740785"/>
            <wp:effectExtent l="0" t="0" r="1270" b="825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4768850"/>
            <wp:effectExtent l="0" t="0" r="5080" b="127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tabs>
          <w:tab w:val="clear" w:pos="567"/>
        </w:tabs>
      </w:pPr>
      <w:bookmarkStart w:id="16" w:name="_Toc404765196"/>
      <w:bookmarkStart w:id="17" w:name="_Toc346701623"/>
      <w:bookmarkStart w:id="18" w:name="_Toc21471"/>
      <w:bookmarkStart w:id="19" w:name="_Toc404764420"/>
      <w:bookmarkStart w:id="20" w:name="_Toc346183641"/>
      <w:bookmarkStart w:id="21" w:name="_Toc404243501"/>
      <w:r>
        <w:t>关闭拦截工具</w:t>
      </w:r>
      <w:bookmarkEnd w:id="16"/>
      <w:bookmarkEnd w:id="17"/>
      <w:bookmarkEnd w:id="18"/>
      <w:bookmarkEnd w:id="19"/>
      <w:bookmarkEnd w:id="20"/>
      <w:bookmarkEnd w:id="21"/>
    </w:p>
    <w:p>
      <w: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4"/>
        <w:ind w:firstLine="480" w:firstLineChars="200"/>
        <w:jc w:val="center"/>
      </w:pPr>
      <w:r>
        <w:drawing>
          <wp:inline distT="0" distB="0" distL="114300" distR="114300">
            <wp:extent cx="5095875" cy="2324100"/>
            <wp:effectExtent l="0" t="0" r="9525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/>
    <w:p>
      <w:pPr>
        <w:pStyle w:val="2"/>
      </w:pPr>
      <w:bookmarkStart w:id="22" w:name="_Toc27507"/>
      <w:r>
        <w:rPr>
          <w:rFonts w:hint="eastAsia"/>
          <w:lang w:val="en-US" w:eastAsia="zh-CN"/>
        </w:rPr>
        <w:t>采购业务</w:t>
      </w:r>
      <w:bookmarkEnd w:id="22"/>
    </w:p>
    <w:p>
      <w:pPr>
        <w:pStyle w:val="3"/>
      </w:pPr>
      <w:bookmarkStart w:id="23" w:name="_Toc31098"/>
      <w:r>
        <w:rPr>
          <w:rFonts w:hint="eastAsia"/>
          <w:lang w:val="en-US" w:eastAsia="zh-CN"/>
        </w:rPr>
        <w:t>项目报名</w:t>
      </w:r>
      <w:bookmarkEnd w:id="23"/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2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进入豫信公共资源交易平台交易主体端后，以</w:t>
      </w:r>
      <w:r>
        <w:rPr>
          <w:rFonts w:hint="eastAsia"/>
          <w:b/>
          <w:bCs/>
          <w:lang w:val="en-US" w:eastAsia="zh-CN"/>
        </w:rPr>
        <w:t>交易乙方</w:t>
      </w:r>
      <w:r>
        <w:rPr>
          <w:rFonts w:hint="eastAsia"/>
          <w:lang w:val="en-US" w:eastAsia="zh-CN"/>
        </w:rPr>
        <w:t>的主体类型登录（http://www.hnyxggzy.com/TPBidder/memberLogin）。左上角选择到</w:t>
      </w:r>
      <w:r>
        <w:rPr>
          <w:rFonts w:hint="eastAsia"/>
          <w:b/>
          <w:bCs/>
          <w:color w:val="FF0000"/>
          <w:lang w:val="en-US" w:eastAsia="zh-CN"/>
        </w:rPr>
        <w:t>报名中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和</w:t>
      </w:r>
      <w:r>
        <w:rPr>
          <w:rFonts w:hint="eastAsia"/>
          <w:b/>
          <w:bCs/>
          <w:color w:val="FF0000"/>
          <w:lang w:val="en-US" w:eastAsia="zh-CN"/>
        </w:rPr>
        <w:t>采购</w:t>
      </w:r>
      <w:r>
        <w:rPr>
          <w:rFonts w:hint="eastAsia"/>
          <w:lang w:val="en-US" w:eastAsia="zh-CN"/>
        </w:rPr>
        <w:t>标签。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（若没有</w:t>
      </w:r>
      <w:r>
        <w:rPr>
          <w:rFonts w:hint="eastAsia"/>
          <w:b/>
          <w:bCs/>
          <w:lang w:val="en-US" w:eastAsia="zh-CN"/>
        </w:rPr>
        <w:t>采购</w:t>
      </w:r>
      <w:r>
        <w:rPr>
          <w:rFonts w:hint="eastAsia"/>
          <w:lang w:val="en-US" w:eastAsia="zh-CN"/>
        </w:rPr>
        <w:t>标签，需联系平台管理工作人员增加</w:t>
      </w:r>
      <w:r>
        <w:rPr>
          <w:rFonts w:hint="eastAsia"/>
          <w:b/>
          <w:bCs/>
          <w:lang w:val="en-US" w:eastAsia="zh-CN"/>
        </w:rPr>
        <w:t>供应商</w:t>
      </w:r>
      <w:r>
        <w:rPr>
          <w:rFonts w:hint="eastAsia"/>
          <w:lang w:val="en-US" w:eastAsia="zh-CN"/>
        </w:rPr>
        <w:t>身份类型）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3830" cy="2366010"/>
            <wp:effectExtent l="0" t="0" r="13970" b="1143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找到要报名的项目标段包，鼠标指针放在该项目上，点击</w:t>
      </w:r>
      <w:r>
        <w:rPr>
          <w:rFonts w:hint="eastAsia"/>
          <w:b/>
          <w:bCs/>
          <w:color w:val="FF0000"/>
          <w:lang w:val="en-US" w:eastAsia="zh-CN"/>
        </w:rPr>
        <w:t>我要报名</w:t>
      </w:r>
      <w:r>
        <w:rPr>
          <w:rFonts w:hint="eastAsia"/>
          <w:lang w:val="en-US" w:eastAsia="zh-CN"/>
        </w:rPr>
        <w:t>。在弹出页面补充</w:t>
      </w:r>
      <w:r>
        <w:rPr>
          <w:rFonts w:hint="eastAsia"/>
          <w:b/>
          <w:bCs/>
          <w:color w:val="FF0000"/>
          <w:lang w:val="en-US" w:eastAsia="zh-CN"/>
        </w:rPr>
        <w:t>供应商负责人</w:t>
      </w:r>
      <w:r>
        <w:rPr>
          <w:rFonts w:hint="eastAsia"/>
          <w:lang w:val="en-US" w:eastAsia="zh-CN"/>
        </w:rPr>
        <w:t>和</w:t>
      </w:r>
      <w:r>
        <w:rPr>
          <w:rFonts w:hint="eastAsia"/>
          <w:b/>
          <w:bCs/>
          <w:color w:val="FF0000"/>
          <w:lang w:val="en-US" w:eastAsia="zh-CN"/>
        </w:rPr>
        <w:t>联系手机</w:t>
      </w:r>
      <w:r>
        <w:rPr>
          <w:rFonts w:hint="eastAsia"/>
          <w:lang w:val="en-US" w:eastAsia="zh-CN"/>
        </w:rPr>
        <w:t>信息后，点击</w:t>
      </w:r>
      <w:r>
        <w:rPr>
          <w:rFonts w:hint="eastAsia"/>
          <w:b/>
          <w:bCs/>
          <w:color w:val="FF0000"/>
          <w:lang w:val="en-US" w:eastAsia="zh-CN"/>
        </w:rPr>
        <w:t>新增报名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注：当供应商</w:t>
      </w:r>
      <w:bookmarkStart w:id="29" w:name="_GoBack"/>
      <w:bookmarkEnd w:id="29"/>
      <w:r>
        <w:rPr>
          <w:rFonts w:hint="eastAsia"/>
          <w:b/>
          <w:bCs/>
          <w:color w:val="FF0000"/>
          <w:lang w:val="en-US" w:eastAsia="zh-CN"/>
        </w:rPr>
        <w:t>以联合体形式投标时，只需牵头单位报名、缴费即可。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39385" cy="1591945"/>
            <wp:effectExtent l="0" t="0" r="3175" b="825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ind w:firstLine="0" w:firstLineChars="0"/>
      </w:pPr>
      <w:r>
        <w:drawing>
          <wp:inline distT="0" distB="0" distL="114300" distR="114300">
            <wp:extent cx="5246370" cy="2435225"/>
            <wp:effectExtent l="0" t="0" r="11430" b="31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29516"/>
      <w:r>
        <w:rPr>
          <w:rFonts w:hint="eastAsia"/>
          <w:lang w:val="en-US" w:eastAsia="zh-CN"/>
        </w:rPr>
        <w:t>标书费（技术服务费）缴纳</w:t>
      </w:r>
      <w:bookmarkEnd w:id="24"/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ind w:firstLine="422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a获取费用缴纳银行账号信息</w:t>
      </w:r>
    </w:p>
    <w:p>
      <w:pPr>
        <w:ind w:firstLine="422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b通过网银或手机银行转账</w:t>
      </w:r>
    </w:p>
    <w:p>
      <w:pPr>
        <w:ind w:firstLine="422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c查询到账情况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1、进入豫信公共资源交易平台交易主体端后，以</w:t>
      </w:r>
      <w:r>
        <w:rPr>
          <w:rFonts w:hint="eastAsia"/>
          <w:b/>
          <w:bCs/>
          <w:lang w:val="en-US" w:eastAsia="zh-CN"/>
        </w:rPr>
        <w:t>交易乙方</w:t>
      </w:r>
      <w:r>
        <w:rPr>
          <w:rFonts w:hint="eastAsia"/>
          <w:lang w:val="en-US" w:eastAsia="zh-CN"/>
        </w:rPr>
        <w:t>的主体类型登录（http://www.hnyxggzy.com/TPBidder/memberLogin）。进入到</w:t>
      </w:r>
      <w:r>
        <w:rPr>
          <w:rFonts w:hint="eastAsia"/>
          <w:b/>
          <w:bCs/>
          <w:color w:val="FF0000"/>
          <w:lang w:val="en-US" w:eastAsia="zh-CN"/>
        </w:rPr>
        <w:t>我的项目，</w:t>
      </w:r>
      <w:r>
        <w:rPr>
          <w:rFonts w:hint="eastAsia"/>
          <w:lang w:val="en-US" w:eastAsia="zh-CN"/>
        </w:rPr>
        <w:t>点击</w:t>
      </w:r>
      <w:r>
        <w:rPr>
          <w:rFonts w:hint="eastAsia"/>
          <w:b/>
          <w:bCs/>
          <w:color w:val="FF0000"/>
          <w:lang w:val="en-US" w:eastAsia="zh-CN"/>
        </w:rPr>
        <w:t>项目流程</w:t>
      </w:r>
      <w:r>
        <w:rPr>
          <w:rFonts w:hint="eastAsia"/>
          <w:lang w:val="en-US" w:eastAsia="zh-CN"/>
        </w:rPr>
        <w:t>，在弹出页面点击</w:t>
      </w:r>
      <w:r>
        <w:rPr>
          <w:rFonts w:hint="eastAsia"/>
          <w:b/>
          <w:bCs/>
          <w:color w:val="FF0000"/>
          <w:lang w:val="en-US" w:eastAsia="zh-CN"/>
        </w:rPr>
        <w:t>标书费查询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8275" cy="2729230"/>
            <wp:effectExtent l="0" t="0" r="9525" b="1397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3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弹出页面会展示出需要交纳的费用类别（标书费、技术服务费）、费用金额、收款账户信息，按照页面提示信息进行银行转账。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1925" cy="2138680"/>
            <wp:effectExtent l="0" t="0" r="635" b="1016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完成转账后，输入缴纳户名和缴纳账号，点击查询到账按钮，查询到对应的缴纳信息后，即可到文件下载页面下载招标文件。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>
      <w:pPr>
        <w:pStyle w:val="4"/>
      </w:pPr>
      <w:r>
        <w:drawing>
          <wp:inline distT="0" distB="0" distL="114300" distR="114300">
            <wp:extent cx="5243195" cy="2105660"/>
            <wp:effectExtent l="0" t="0" r="14605" b="1270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5" w:name="_Toc29584"/>
      <w:r>
        <w:rPr>
          <w:rFonts w:hint="eastAsia"/>
          <w:lang w:val="en-US" w:eastAsia="zh-CN"/>
        </w:rPr>
        <w:t>领取文件</w:t>
      </w:r>
      <w:bookmarkEnd w:id="25"/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</w:rPr>
        <w:t>1</w:t>
      </w:r>
      <w:r>
        <w:t>、</w:t>
      </w:r>
      <w:r>
        <w:rPr>
          <w:rFonts w:hint="eastAsia"/>
          <w:lang w:val="en-US" w:eastAsia="zh-CN"/>
        </w:rPr>
        <w:t>完成报名后，通过</w:t>
      </w:r>
      <w:r>
        <w:rPr>
          <w:rFonts w:hint="eastAsia"/>
        </w:rPr>
        <w:t>右上角</w:t>
      </w:r>
      <w:r>
        <w:rPr>
          <w:rFonts w:hint="eastAsia"/>
          <w:lang w:val="en-US" w:eastAsia="zh-CN"/>
        </w:rPr>
        <w:t>进入到</w:t>
      </w:r>
      <w:r>
        <w:rPr>
          <w:rFonts w:hint="eastAsia"/>
          <w:b/>
          <w:bCs/>
          <w:color w:val="FF0000"/>
          <w:lang w:val="en-US" w:eastAsia="zh-CN"/>
        </w:rPr>
        <w:t>我的项目</w:t>
      </w:r>
      <w:r>
        <w:rPr>
          <w:rFonts w:hint="eastAsia"/>
          <w:lang w:val="en-US" w:eastAsia="zh-CN"/>
        </w:rPr>
        <w:t>，找到要领取文件的项目标段包，鼠标指针放在该项目上，点击</w:t>
      </w:r>
      <w:r>
        <w:rPr>
          <w:rFonts w:hint="eastAsia"/>
          <w:b/>
          <w:bCs/>
          <w:color w:val="FF0000"/>
          <w:lang w:val="en-US" w:eastAsia="zh-CN"/>
        </w:rPr>
        <w:t>项目流程</w:t>
      </w:r>
      <w:r>
        <w:rPr>
          <w:rFonts w:hint="eastAsia"/>
          <w:lang w:val="en-US" w:eastAsia="zh-CN"/>
        </w:rPr>
        <w:t>，在弹出页面点击</w:t>
      </w:r>
      <w:r>
        <w:rPr>
          <w:rFonts w:hint="eastAsia"/>
          <w:b/>
          <w:bCs/>
          <w:color w:val="FF0000"/>
          <w:lang w:val="en-US" w:eastAsia="zh-CN"/>
        </w:rPr>
        <w:t>交易文件下载</w:t>
      </w:r>
      <w:r>
        <w:rPr>
          <w:rFonts w:hint="eastAsia"/>
          <w:lang w:val="en-US" w:eastAsia="zh-CN"/>
        </w:rPr>
        <w:t>。</w:t>
      </w:r>
    </w:p>
    <w:p>
      <w:pPr>
        <w:ind w:firstLine="0" w:firstLineChars="0"/>
      </w:pPr>
      <w:r>
        <w:drawing>
          <wp:inline distT="0" distB="0" distL="114300" distR="114300">
            <wp:extent cx="5240020" cy="2277745"/>
            <wp:effectExtent l="0" t="0" r="2540" b="825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45735" cy="2886710"/>
            <wp:effectExtent l="0" t="0" r="12065" b="889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45100" cy="2485390"/>
            <wp:effectExtent l="0" t="0" r="12700" b="1397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/>
          <w:lang w:val="en-US" w:eastAsia="zh-CN"/>
        </w:rPr>
        <w:t>、根据文件要求交纳标书费和平台使用费并进行相应确认后，点击</w:t>
      </w:r>
      <w:r>
        <w:rPr>
          <w:rFonts w:hint="eastAsia"/>
          <w:b/>
          <w:bCs/>
          <w:color w:val="FF0000"/>
          <w:lang w:val="en-US" w:eastAsia="zh-CN"/>
        </w:rPr>
        <w:t>下载交易文件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进入到</w:t>
      </w:r>
      <w:r>
        <w:rPr>
          <w:rFonts w:hint="eastAsia"/>
          <w:lang w:val="en-US" w:eastAsia="zh-CN"/>
        </w:rPr>
        <w:t>下载页面进行操作。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40655" cy="2329815"/>
            <wp:effectExtent l="0" t="0" r="1905" b="190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47005" cy="2305685"/>
            <wp:effectExtent l="0" t="0" r="10795" b="1079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6" w:name="_Toc23882"/>
      <w:r>
        <w:rPr>
          <w:rFonts w:hint="eastAsia"/>
          <w:lang w:val="en-US" w:eastAsia="zh-CN"/>
        </w:rPr>
        <w:t>下载澄清文件</w:t>
      </w:r>
      <w:bookmarkEnd w:id="26"/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4"/>
        </w:numPr>
      </w:pPr>
      <w:r>
        <w:rPr>
          <w:rFonts w:hint="eastAsia"/>
          <w:lang w:val="en-US" w:eastAsia="zh-CN"/>
        </w:rPr>
        <w:t>领取招标文件后，若代理机构发布了答疑文件，通过</w:t>
      </w:r>
      <w:r>
        <w:rPr>
          <w:rFonts w:hint="eastAsia"/>
        </w:rPr>
        <w:t>右上角</w:t>
      </w:r>
      <w:r>
        <w:rPr>
          <w:rFonts w:hint="eastAsia"/>
          <w:lang w:val="en-US" w:eastAsia="zh-CN"/>
        </w:rPr>
        <w:t>进入到</w:t>
      </w:r>
      <w:r>
        <w:rPr>
          <w:rFonts w:hint="eastAsia"/>
          <w:b/>
          <w:bCs/>
          <w:color w:val="FF0000"/>
          <w:lang w:val="en-US" w:eastAsia="zh-CN"/>
        </w:rPr>
        <w:t>我的项目</w:t>
      </w:r>
      <w:r>
        <w:rPr>
          <w:rFonts w:hint="eastAsia"/>
          <w:lang w:val="en-US" w:eastAsia="zh-CN"/>
        </w:rPr>
        <w:t>，找到要领取文件的项目标段包，鼠标指针放在该项目上，点击</w:t>
      </w:r>
      <w:r>
        <w:rPr>
          <w:rFonts w:hint="eastAsia"/>
          <w:b/>
          <w:bCs/>
          <w:color w:val="FF0000"/>
          <w:lang w:val="en-US" w:eastAsia="zh-CN"/>
        </w:rPr>
        <w:t>项目流程</w:t>
      </w:r>
      <w:r>
        <w:rPr>
          <w:rFonts w:hint="eastAsia"/>
          <w:lang w:val="en-US" w:eastAsia="zh-CN"/>
        </w:rPr>
        <w:t>，在弹出页面点击</w:t>
      </w:r>
      <w:r>
        <w:rPr>
          <w:rFonts w:hint="eastAsia"/>
          <w:b/>
          <w:bCs/>
          <w:color w:val="FF0000"/>
          <w:lang w:val="en-US" w:eastAsia="zh-CN"/>
        </w:rPr>
        <w:t>答疑文件下载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6370" cy="2308225"/>
            <wp:effectExtent l="0" t="0" r="1143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1290" cy="2046605"/>
            <wp:effectExtent l="0" t="0" r="1651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</w:pPr>
      <w:r>
        <w:rPr>
          <w:rFonts w:hint="eastAsia"/>
          <w:lang w:val="en-US" w:eastAsia="zh-CN"/>
        </w:rPr>
        <w:t>在文件列表栏目，点击“下载”按钮，下载答疑文件。</w:t>
      </w:r>
    </w:p>
    <w:p>
      <w:pPr>
        <w:pStyle w:val="38"/>
        <w:keepNext w:val="0"/>
        <w:keepLines w:val="0"/>
        <w:widowControl/>
        <w:suppressLineNumbers w:val="0"/>
        <w:spacing w:before="0" w:beforeAutospacing="0" w:after="0" w:afterAutospacing="0" w:line="480" w:lineRule="atLeast"/>
        <w:ind w:left="0" w:right="0"/>
        <w:rPr>
          <w:color w:val="FF0000"/>
        </w:rPr>
      </w:pPr>
      <w:r>
        <w:rPr>
          <w:rFonts w:hint="eastAsia" w:ascii="Times New Roman" w:hAnsi="Times New Roman" w:eastAsia="宋体" w:cs="Times New Roman"/>
          <w:color w:val="FF0000"/>
          <w:kern w:val="2"/>
          <w:sz w:val="21"/>
          <w:szCs w:val="24"/>
          <w:lang w:val="en-US" w:eastAsia="zh-CN" w:bidi="ar-SA"/>
        </w:rPr>
        <w:t>注意点：为了保证文件正常下载，请不要使用迅雷等下载软件下载文件，请右击下载图标【</w:t>
      </w:r>
      <w:r>
        <w:drawing>
          <wp:inline distT="0" distB="0" distL="114300" distR="114300">
            <wp:extent cx="247650" cy="2571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color w:val="FF0000"/>
          <w:kern w:val="2"/>
          <w:sz w:val="21"/>
          <w:szCs w:val="24"/>
          <w:lang w:val="en-US" w:eastAsia="zh-CN" w:bidi="ar-SA"/>
        </w:rPr>
        <w:t>】-目标另存为，进行文件下载。</w:t>
      </w:r>
    </w:p>
    <w:p>
      <w:pPr>
        <w:widowControl w:val="0"/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40020" cy="2247900"/>
            <wp:effectExtent l="0" t="0" r="177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7" w:name="_Toc1406"/>
      <w:r>
        <w:rPr>
          <w:rFonts w:hint="eastAsia"/>
          <w:lang w:val="en-US" w:eastAsia="zh-CN"/>
        </w:rPr>
        <w:t>上传文件</w:t>
      </w:r>
      <w:bookmarkEnd w:id="27"/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0"/>
        </w:numPr>
        <w:tabs>
          <w:tab w:val="left" w:pos="464"/>
        </w:tabs>
      </w:pPr>
      <w:r>
        <w:rPr>
          <w:rFonts w:hint="eastAsia"/>
        </w:rPr>
        <w:tab/>
      </w:r>
      <w:r>
        <w:rPr>
          <w:rFonts w:hint="eastAsia"/>
          <w:lang w:val="en-US" w:eastAsia="zh-CN"/>
        </w:rPr>
        <w:t>1、投标文件制作完成后，通过</w:t>
      </w:r>
      <w:r>
        <w:rPr>
          <w:rFonts w:hint="eastAsia"/>
        </w:rPr>
        <w:t>右上角</w:t>
      </w:r>
      <w:r>
        <w:rPr>
          <w:rFonts w:hint="eastAsia"/>
          <w:lang w:val="en-US" w:eastAsia="zh-CN"/>
        </w:rPr>
        <w:t>进入到</w:t>
      </w:r>
      <w:r>
        <w:rPr>
          <w:rFonts w:hint="eastAsia"/>
          <w:b/>
          <w:bCs/>
          <w:color w:val="FF0000"/>
          <w:lang w:val="en-US" w:eastAsia="zh-CN"/>
        </w:rPr>
        <w:t>我的项目</w:t>
      </w:r>
      <w:r>
        <w:rPr>
          <w:rFonts w:hint="eastAsia"/>
          <w:lang w:val="en-US" w:eastAsia="zh-CN"/>
        </w:rPr>
        <w:t>，找到要上传文件的项目标段包，鼠标指针放在该项目上，点击</w:t>
      </w:r>
      <w:r>
        <w:rPr>
          <w:rFonts w:hint="eastAsia"/>
          <w:b/>
          <w:bCs/>
          <w:color w:val="FF0000"/>
          <w:lang w:val="en-US" w:eastAsia="zh-CN"/>
        </w:rPr>
        <w:t>项目流程</w:t>
      </w:r>
      <w:r>
        <w:rPr>
          <w:rFonts w:hint="eastAsia"/>
          <w:lang w:val="en-US" w:eastAsia="zh-CN"/>
        </w:rPr>
        <w:t>，在弹出页面点击</w:t>
      </w:r>
      <w:r>
        <w:rPr>
          <w:rFonts w:hint="eastAsia"/>
          <w:b/>
          <w:bCs/>
          <w:color w:val="FF0000"/>
          <w:lang w:val="en-US" w:eastAsia="zh-CN"/>
        </w:rPr>
        <w:t>上传投标文件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0"/>
        </w:numPr>
        <w:tabs>
          <w:tab w:val="left" w:pos="464"/>
        </w:tabs>
      </w:pPr>
      <w:r>
        <w:drawing>
          <wp:inline distT="0" distB="0" distL="114300" distR="114300">
            <wp:extent cx="5246370" cy="2308225"/>
            <wp:effectExtent l="0" t="0" r="11430" b="158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40655" cy="2275205"/>
            <wp:effectExtent l="0" t="0" r="17145" b="1079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/>
          <w:lang w:val="en-US" w:eastAsia="zh-CN"/>
        </w:rPr>
        <w:t>、点击“上传投标文件”按钮，在弹出的页面上点击“选择文件上传”，选择制作好的加密版投标文件，进行上传。</w:t>
      </w: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42560" cy="2226945"/>
            <wp:effectExtent l="0" t="0" r="15240" b="190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45100" cy="2762885"/>
            <wp:effectExtent l="0" t="0" r="12700" b="1841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3、</w:t>
      </w:r>
      <w:r>
        <w:rPr>
          <w:rFonts w:hint="eastAsia" w:ascii="宋体" w:hAnsi="宋体" w:cs="宋体"/>
          <w:lang w:val="en-US" w:eastAsia="zh-CN"/>
        </w:rPr>
        <w:t>上传完成后，自动弹出“成功上传”提示，点击“确定”按钮完成文件上传。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</w:pPr>
      <w:r>
        <w:drawing>
          <wp:inline distT="0" distB="0" distL="114300" distR="114300">
            <wp:extent cx="5241925" cy="2149475"/>
            <wp:effectExtent l="0" t="0" r="15875" b="317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4、</w:t>
      </w:r>
      <w:r>
        <w:rPr>
          <w:rFonts w:hint="eastAsia" w:ascii="宋体" w:hAnsi="宋体" w:cs="宋体"/>
          <w:lang w:val="en-US" w:eastAsia="zh-CN"/>
        </w:rPr>
        <w:t>投标文件上传后，开标前可对投标文件进行撤回修改，再次上传。也可点击“模拟解密”按钮，对上传的加密投标文件进行模拟解密。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</w:pPr>
      <w:r>
        <w:drawing>
          <wp:inline distT="0" distB="0" distL="114300" distR="114300">
            <wp:extent cx="5241290" cy="2267585"/>
            <wp:effectExtent l="0" t="0" r="16510" b="1841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注意：必须上传用单位锁加密生成的投标文件，个人锁加密生成的投标文件无法上传；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若发布答疑澄清文件，必须上传用答疑澄清文件制作的加密投标文件；</w:t>
      </w:r>
    </w:p>
    <w:p>
      <w:pPr>
        <w:pStyle w:val="3"/>
        <w:numPr>
          <w:ilvl w:val="1"/>
          <w:numId w:val="0"/>
        </w:numPr>
        <w:bidi w:val="0"/>
        <w:ind w:left="142" w:leftChars="0"/>
        <w:rPr>
          <w:rFonts w:hint="eastAsia"/>
          <w:lang w:val="en-US" w:eastAsia="zh-CN"/>
        </w:rPr>
      </w:pPr>
      <w:bookmarkStart w:id="28" w:name="_Toc11753"/>
      <w:r>
        <w:rPr>
          <w:rFonts w:hint="eastAsia"/>
          <w:lang w:val="en-US" w:eastAsia="zh-CN"/>
        </w:rPr>
        <w:t>2.5、报价参与</w:t>
      </w:r>
      <w:bookmarkEnd w:id="28"/>
    </w:p>
    <w:p>
      <w:pPr>
        <w:pStyle w:val="4"/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采购竞争性谈判、竞争性磋商、单一来源项目在评标过程中，评委发起报价后需要供应商参与报价。</w:t>
      </w:r>
    </w:p>
    <w:p>
      <w:pPr>
        <w:pStyle w:val="4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操作步骤：</w:t>
      </w:r>
    </w:p>
    <w:p>
      <w:pPr>
        <w:ind w:left="0" w:leftChars="0" w:firstLine="480" w:firstLineChars="200"/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1、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点击“我的项目”选择需要二次报价的项目，如下图页面：</w:t>
      </w:r>
    </w:p>
    <w:p>
      <w:pP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66690" cy="2293620"/>
            <wp:effectExtent l="0" t="0" r="635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进入项目后点击</w:t>
      </w:r>
      <w:r>
        <w:rPr>
          <w:rFonts w:hint="eastAsia" w:ascii="Times New Roman" w:hAnsi="Times New Roman" w:eastAsia="宋体" w:cs="Times New Roman"/>
          <w:b/>
          <w:bCs/>
          <w:color w:val="FF0000"/>
          <w:kern w:val="2"/>
          <w:sz w:val="24"/>
          <w:szCs w:val="24"/>
          <w:lang w:val="en-US" w:eastAsia="zh-CN" w:bidi="ar-SA"/>
        </w:rPr>
        <w:t>网上报价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，如下图所示：</w:t>
      </w:r>
    </w:p>
    <w:p>
      <w:pPr>
        <w:ind w:left="479" w:leftChars="228" w:firstLine="0" w:firstLineChars="0"/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70500" cy="2220595"/>
            <wp:effectExtent l="0" t="0" r="2540" b="44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点击</w:t>
      </w:r>
      <w:r>
        <w:rPr>
          <w:rFonts w:hint="eastAsia" w:ascii="Times New Roman" w:hAnsi="Times New Roman" w:eastAsia="宋体" w:cs="Times New Roman"/>
          <w:b/>
          <w:bCs/>
          <w:color w:val="FF0000"/>
          <w:kern w:val="2"/>
          <w:sz w:val="24"/>
          <w:szCs w:val="24"/>
          <w:lang w:val="en-US" w:eastAsia="zh-CN" w:bidi="ar-SA"/>
        </w:rPr>
        <w:t>新增报价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，（要注意报价的截止时间，及时在截止时间前进行报价）如下图所示：</w:t>
      </w:r>
    </w:p>
    <w:p>
      <w:pP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66690" cy="2148205"/>
            <wp:effectExtent l="0" t="0" r="6350" b="6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输入自己要报的价格点击保存报价，如下图所示：</w:t>
      </w:r>
    </w:p>
    <w:p>
      <w:pP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66690" cy="2211070"/>
            <wp:effectExtent l="0" t="0" r="6350" b="1397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点击</w:t>
      </w:r>
      <w:r>
        <w:rPr>
          <w:rFonts w:hint="eastAsia" w:ascii="Times New Roman" w:hAnsi="Times New Roman" w:eastAsia="宋体" w:cs="Times New Roman"/>
          <w:b/>
          <w:bCs/>
          <w:color w:val="FF0000"/>
          <w:kern w:val="2"/>
          <w:sz w:val="24"/>
          <w:szCs w:val="24"/>
          <w:lang w:val="en-US" w:eastAsia="zh-CN" w:bidi="ar-SA"/>
        </w:rPr>
        <w:t>签章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按钮，如下图所示：</w:t>
      </w:r>
    </w:p>
    <w:p>
      <w:pP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68595" cy="1714500"/>
            <wp:effectExtent l="0" t="0" r="4445" b="762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 xml:space="preserve">   点击</w:t>
      </w:r>
      <w:r>
        <w:rPr>
          <w:rFonts w:hint="eastAsia" w:cs="Times New Roman"/>
          <w:b/>
          <w:bCs/>
          <w:color w:val="FF0000"/>
          <w:kern w:val="2"/>
          <w:sz w:val="24"/>
          <w:szCs w:val="24"/>
          <w:lang w:val="en-US" w:eastAsia="zh-CN" w:bidi="ar-SA"/>
        </w:rPr>
        <w:t>电子签章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按钮进行签章，完成后点击左上角的</w:t>
      </w:r>
      <w:r>
        <w:rPr>
          <w:rFonts w:hint="eastAsia" w:cs="Times New Roman"/>
          <w:b/>
          <w:bCs/>
          <w:color w:val="FF0000"/>
          <w:kern w:val="2"/>
          <w:sz w:val="24"/>
          <w:szCs w:val="24"/>
          <w:lang w:val="en-US" w:eastAsia="zh-CN" w:bidi="ar-SA"/>
        </w:rPr>
        <w:t>签章提交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74310" cy="2143125"/>
            <wp:effectExtent l="0" t="0" r="13970" b="571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color w:val="FF0000"/>
          <w:kern w:val="2"/>
          <w:sz w:val="24"/>
          <w:szCs w:val="24"/>
          <w:lang w:val="en-US" w:eastAsia="zh-CN" w:bidi="ar-SA"/>
        </w:rPr>
        <w:t>签章提交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后报价提交成功，如下图：</w:t>
      </w:r>
    </w:p>
    <w:p>
      <w:pPr>
        <w:ind w:left="0" w:leftChars="0" w:firstLine="0" w:firstLineChars="0"/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71135" cy="1995170"/>
            <wp:effectExtent l="0" t="0" r="1905" b="127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color w:val="FF0000"/>
          <w:kern w:val="2"/>
          <w:sz w:val="24"/>
          <w:szCs w:val="24"/>
          <w:lang w:val="en-US" w:eastAsia="zh-CN" w:bidi="ar-SA"/>
        </w:rPr>
        <w:t>注意：如果有多轮报价（三次报价及以上），必须每一轮次都参与报价，未在规定时间内签章提交报价的不能参与下一轮的报价。</w:t>
      </w:r>
    </w:p>
    <w:p>
      <w:pPr>
        <w:pStyle w:val="4"/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</w:p>
    <w:p>
      <w:pPr>
        <w:pStyle w:val="4"/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843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top w:val="single" w:color="9BBB59" w:sz="24" w:space="5"/>
      </w:pBdr>
      <w:wordWrap w:val="0"/>
      <w:spacing w:line="240" w:lineRule="auto"/>
      <w:ind w:firstLine="360"/>
      <w:jc w:val="right"/>
      <w:rPr>
        <w:rFonts w:hint="eastAsia"/>
        <w:lang w:val="zh-CN"/>
      </w:rPr>
    </w:pPr>
    <w:r>
      <w:rPr>
        <w:rFonts w:hint="eastAsia"/>
        <w:lang w:val="zh-CN"/>
      </w:rPr>
      <w:t xml:space="preserve">                   </w:t>
    </w:r>
  </w:p>
  <w:p>
    <w:pPr>
      <w:pStyle w:val="27"/>
      <w:pBdr>
        <w:top w:val="single" w:color="9BBB59" w:sz="24" w:space="5"/>
      </w:pBdr>
      <w:wordWrap/>
      <w:spacing w:line="240" w:lineRule="auto"/>
      <w:ind w:firstLine="360"/>
      <w:jc w:val="right"/>
      <w:rPr>
        <w:rFonts w:hint="default"/>
        <w:lang w:val="en-US"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rFonts w:hint="eastAsia" w:ascii="Cambria" w:hAnsi="Cambria"/>
      </w:rPr>
      <w:t xml:space="preserve">操作手册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CF6A8C"/>
    <w:multiLevelType w:val="singleLevel"/>
    <w:tmpl w:val="B8CF6A8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CCD5DB8"/>
    <w:multiLevelType w:val="singleLevel"/>
    <w:tmpl w:val="FCCD5DB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23BA462E"/>
    <w:multiLevelType w:val="singleLevel"/>
    <w:tmpl w:val="23BA462E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5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NotTrackMoves/>
  <w:documentProtection w:enforcement="0"/>
  <w:defaultTabStop w:val="5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czZWZiMWMxZmE2ODcwMzA1MzA3YmRkNjhhNDJhYzYifQ=="/>
  </w:docVars>
  <w:rsids>
    <w:rsidRoot w:val="007405F0"/>
    <w:rsid w:val="00006833"/>
    <w:rsid w:val="00032EEC"/>
    <w:rsid w:val="00043FEA"/>
    <w:rsid w:val="000461E8"/>
    <w:rsid w:val="0006641A"/>
    <w:rsid w:val="000B634C"/>
    <w:rsid w:val="000E16D1"/>
    <w:rsid w:val="000E5AA5"/>
    <w:rsid w:val="000F0776"/>
    <w:rsid w:val="0010461D"/>
    <w:rsid w:val="00105CBF"/>
    <w:rsid w:val="0012515E"/>
    <w:rsid w:val="00135F57"/>
    <w:rsid w:val="00145662"/>
    <w:rsid w:val="0015285E"/>
    <w:rsid w:val="001722FF"/>
    <w:rsid w:val="001D7660"/>
    <w:rsid w:val="001E0E9B"/>
    <w:rsid w:val="001F2B9B"/>
    <w:rsid w:val="002058EC"/>
    <w:rsid w:val="00235140"/>
    <w:rsid w:val="002410F3"/>
    <w:rsid w:val="00254DC1"/>
    <w:rsid w:val="00260726"/>
    <w:rsid w:val="002610DA"/>
    <w:rsid w:val="00272385"/>
    <w:rsid w:val="00287968"/>
    <w:rsid w:val="002A104D"/>
    <w:rsid w:val="002A1AB5"/>
    <w:rsid w:val="002B36FE"/>
    <w:rsid w:val="002B565B"/>
    <w:rsid w:val="002B6BF3"/>
    <w:rsid w:val="002D4275"/>
    <w:rsid w:val="002E1124"/>
    <w:rsid w:val="00310AA1"/>
    <w:rsid w:val="0032495E"/>
    <w:rsid w:val="0032678E"/>
    <w:rsid w:val="00334911"/>
    <w:rsid w:val="00362EBF"/>
    <w:rsid w:val="00374D57"/>
    <w:rsid w:val="0037580C"/>
    <w:rsid w:val="003A4200"/>
    <w:rsid w:val="003B0B9F"/>
    <w:rsid w:val="003D0B9E"/>
    <w:rsid w:val="00402FE2"/>
    <w:rsid w:val="00405898"/>
    <w:rsid w:val="00450F07"/>
    <w:rsid w:val="00461E25"/>
    <w:rsid w:val="00466A14"/>
    <w:rsid w:val="004709D6"/>
    <w:rsid w:val="004723A6"/>
    <w:rsid w:val="00474DFB"/>
    <w:rsid w:val="0047507A"/>
    <w:rsid w:val="0048215E"/>
    <w:rsid w:val="004A65C3"/>
    <w:rsid w:val="004E08EA"/>
    <w:rsid w:val="004F72CE"/>
    <w:rsid w:val="00501B97"/>
    <w:rsid w:val="0054198D"/>
    <w:rsid w:val="005433DE"/>
    <w:rsid w:val="00546561"/>
    <w:rsid w:val="00557842"/>
    <w:rsid w:val="00570D64"/>
    <w:rsid w:val="00573617"/>
    <w:rsid w:val="00575750"/>
    <w:rsid w:val="0058502A"/>
    <w:rsid w:val="005854B8"/>
    <w:rsid w:val="005855F9"/>
    <w:rsid w:val="005A26CB"/>
    <w:rsid w:val="005A459E"/>
    <w:rsid w:val="005A6C33"/>
    <w:rsid w:val="005B31E2"/>
    <w:rsid w:val="005C2772"/>
    <w:rsid w:val="005C2AF6"/>
    <w:rsid w:val="005C76A7"/>
    <w:rsid w:val="005D32B9"/>
    <w:rsid w:val="005D5C4B"/>
    <w:rsid w:val="005E2B5F"/>
    <w:rsid w:val="005F242B"/>
    <w:rsid w:val="005F44B2"/>
    <w:rsid w:val="005F587F"/>
    <w:rsid w:val="00601E23"/>
    <w:rsid w:val="00605F45"/>
    <w:rsid w:val="006254AE"/>
    <w:rsid w:val="00635DA0"/>
    <w:rsid w:val="00654037"/>
    <w:rsid w:val="00665C7F"/>
    <w:rsid w:val="006675A9"/>
    <w:rsid w:val="00670064"/>
    <w:rsid w:val="006742C8"/>
    <w:rsid w:val="006816C2"/>
    <w:rsid w:val="0069364D"/>
    <w:rsid w:val="006A2A99"/>
    <w:rsid w:val="006B060D"/>
    <w:rsid w:val="006C0E3E"/>
    <w:rsid w:val="007101DB"/>
    <w:rsid w:val="007405F0"/>
    <w:rsid w:val="00752572"/>
    <w:rsid w:val="00784A9B"/>
    <w:rsid w:val="00787E56"/>
    <w:rsid w:val="00794742"/>
    <w:rsid w:val="007A1033"/>
    <w:rsid w:val="007A6B07"/>
    <w:rsid w:val="007C6209"/>
    <w:rsid w:val="007F1A05"/>
    <w:rsid w:val="00803D6B"/>
    <w:rsid w:val="00817F39"/>
    <w:rsid w:val="0086245A"/>
    <w:rsid w:val="0086296B"/>
    <w:rsid w:val="00882CE0"/>
    <w:rsid w:val="00883BA2"/>
    <w:rsid w:val="008D2D8B"/>
    <w:rsid w:val="008D33DA"/>
    <w:rsid w:val="008F7B6C"/>
    <w:rsid w:val="009002F7"/>
    <w:rsid w:val="009078AA"/>
    <w:rsid w:val="0091791F"/>
    <w:rsid w:val="009253E3"/>
    <w:rsid w:val="00944E3B"/>
    <w:rsid w:val="00951E25"/>
    <w:rsid w:val="00986EF5"/>
    <w:rsid w:val="00991131"/>
    <w:rsid w:val="009B13D4"/>
    <w:rsid w:val="009C3ADE"/>
    <w:rsid w:val="009D51D5"/>
    <w:rsid w:val="009E2D85"/>
    <w:rsid w:val="009E3000"/>
    <w:rsid w:val="009F0621"/>
    <w:rsid w:val="00A0158A"/>
    <w:rsid w:val="00A03B32"/>
    <w:rsid w:val="00A20773"/>
    <w:rsid w:val="00A25020"/>
    <w:rsid w:val="00A3507A"/>
    <w:rsid w:val="00A367AF"/>
    <w:rsid w:val="00A46135"/>
    <w:rsid w:val="00A55390"/>
    <w:rsid w:val="00AD3F62"/>
    <w:rsid w:val="00AE3CBB"/>
    <w:rsid w:val="00B11A5D"/>
    <w:rsid w:val="00B1370F"/>
    <w:rsid w:val="00B17DB3"/>
    <w:rsid w:val="00B55F64"/>
    <w:rsid w:val="00B734BE"/>
    <w:rsid w:val="00B77E50"/>
    <w:rsid w:val="00B819F6"/>
    <w:rsid w:val="00B81FBE"/>
    <w:rsid w:val="00BB4D1B"/>
    <w:rsid w:val="00BB574F"/>
    <w:rsid w:val="00BB6051"/>
    <w:rsid w:val="00BD5BDB"/>
    <w:rsid w:val="00BD5D94"/>
    <w:rsid w:val="00BF2851"/>
    <w:rsid w:val="00BF3F95"/>
    <w:rsid w:val="00C0295B"/>
    <w:rsid w:val="00C07A44"/>
    <w:rsid w:val="00C52146"/>
    <w:rsid w:val="00C547F1"/>
    <w:rsid w:val="00C57DDA"/>
    <w:rsid w:val="00C62BB8"/>
    <w:rsid w:val="00C661DF"/>
    <w:rsid w:val="00C80FFF"/>
    <w:rsid w:val="00C83E30"/>
    <w:rsid w:val="00C8763A"/>
    <w:rsid w:val="00CA4F65"/>
    <w:rsid w:val="00CA5ED6"/>
    <w:rsid w:val="00CA73A0"/>
    <w:rsid w:val="00CB3CB2"/>
    <w:rsid w:val="00CB4931"/>
    <w:rsid w:val="00CC6939"/>
    <w:rsid w:val="00CD2D47"/>
    <w:rsid w:val="00CD7C6D"/>
    <w:rsid w:val="00CD7EB6"/>
    <w:rsid w:val="00D068C2"/>
    <w:rsid w:val="00D146A1"/>
    <w:rsid w:val="00D2740C"/>
    <w:rsid w:val="00D444F6"/>
    <w:rsid w:val="00D464B7"/>
    <w:rsid w:val="00D50219"/>
    <w:rsid w:val="00D51EDD"/>
    <w:rsid w:val="00D54338"/>
    <w:rsid w:val="00D57D61"/>
    <w:rsid w:val="00D62401"/>
    <w:rsid w:val="00D74A9A"/>
    <w:rsid w:val="00D95B31"/>
    <w:rsid w:val="00DA0C68"/>
    <w:rsid w:val="00DA349B"/>
    <w:rsid w:val="00DB35CE"/>
    <w:rsid w:val="00DC3235"/>
    <w:rsid w:val="00DC406A"/>
    <w:rsid w:val="00DD16F1"/>
    <w:rsid w:val="00E06698"/>
    <w:rsid w:val="00E2355C"/>
    <w:rsid w:val="00E470AD"/>
    <w:rsid w:val="00E50232"/>
    <w:rsid w:val="00E5650F"/>
    <w:rsid w:val="00E5756C"/>
    <w:rsid w:val="00E6490D"/>
    <w:rsid w:val="00E6653E"/>
    <w:rsid w:val="00E73D75"/>
    <w:rsid w:val="00E81B5A"/>
    <w:rsid w:val="00E9410B"/>
    <w:rsid w:val="00E94D27"/>
    <w:rsid w:val="00EA4498"/>
    <w:rsid w:val="00EB3C5B"/>
    <w:rsid w:val="00EC7733"/>
    <w:rsid w:val="00EE10B3"/>
    <w:rsid w:val="00EE26DE"/>
    <w:rsid w:val="00EE5902"/>
    <w:rsid w:val="00EF515B"/>
    <w:rsid w:val="00F00148"/>
    <w:rsid w:val="00F31CE2"/>
    <w:rsid w:val="00F374E1"/>
    <w:rsid w:val="00F5510B"/>
    <w:rsid w:val="00F57250"/>
    <w:rsid w:val="00F7608F"/>
    <w:rsid w:val="00FA19D3"/>
    <w:rsid w:val="00FC5D6E"/>
    <w:rsid w:val="00FC75D6"/>
    <w:rsid w:val="00FE342E"/>
    <w:rsid w:val="01501D76"/>
    <w:rsid w:val="01BD320B"/>
    <w:rsid w:val="02E751B1"/>
    <w:rsid w:val="03406500"/>
    <w:rsid w:val="03B2479A"/>
    <w:rsid w:val="03E62F94"/>
    <w:rsid w:val="04564FA2"/>
    <w:rsid w:val="04927028"/>
    <w:rsid w:val="05955A20"/>
    <w:rsid w:val="05AC6C4F"/>
    <w:rsid w:val="05D93EDB"/>
    <w:rsid w:val="05DE3AA7"/>
    <w:rsid w:val="05F21460"/>
    <w:rsid w:val="06013631"/>
    <w:rsid w:val="07137246"/>
    <w:rsid w:val="07B17E3D"/>
    <w:rsid w:val="080778A7"/>
    <w:rsid w:val="084A1DD2"/>
    <w:rsid w:val="08E27D6A"/>
    <w:rsid w:val="093023EA"/>
    <w:rsid w:val="09BB007A"/>
    <w:rsid w:val="0A321F79"/>
    <w:rsid w:val="0A7B623C"/>
    <w:rsid w:val="0AAE64E2"/>
    <w:rsid w:val="0B8003DA"/>
    <w:rsid w:val="0B857E3D"/>
    <w:rsid w:val="0BB674AF"/>
    <w:rsid w:val="0D771EDD"/>
    <w:rsid w:val="0DAA67E0"/>
    <w:rsid w:val="0EB43ECA"/>
    <w:rsid w:val="0EBA348A"/>
    <w:rsid w:val="0ED77FF7"/>
    <w:rsid w:val="0F5F06D8"/>
    <w:rsid w:val="0FA57E31"/>
    <w:rsid w:val="0FE10F4A"/>
    <w:rsid w:val="106C72A8"/>
    <w:rsid w:val="11622737"/>
    <w:rsid w:val="116A3832"/>
    <w:rsid w:val="11765F75"/>
    <w:rsid w:val="13EA72CA"/>
    <w:rsid w:val="144D0D6A"/>
    <w:rsid w:val="14CB5FE6"/>
    <w:rsid w:val="14F717C6"/>
    <w:rsid w:val="150F48F4"/>
    <w:rsid w:val="15390ADE"/>
    <w:rsid w:val="153F56D8"/>
    <w:rsid w:val="15402D9E"/>
    <w:rsid w:val="154934C9"/>
    <w:rsid w:val="156E27C7"/>
    <w:rsid w:val="16410C10"/>
    <w:rsid w:val="16A054C3"/>
    <w:rsid w:val="16F13DFA"/>
    <w:rsid w:val="16FA48B3"/>
    <w:rsid w:val="176D2DE2"/>
    <w:rsid w:val="17BB7D55"/>
    <w:rsid w:val="17C3657D"/>
    <w:rsid w:val="17DD67C8"/>
    <w:rsid w:val="183E62DF"/>
    <w:rsid w:val="185B6189"/>
    <w:rsid w:val="193B73AB"/>
    <w:rsid w:val="19D540CB"/>
    <w:rsid w:val="19FD7F67"/>
    <w:rsid w:val="1C1F6FB6"/>
    <w:rsid w:val="1CAC0007"/>
    <w:rsid w:val="1CB02E44"/>
    <w:rsid w:val="1CC239AC"/>
    <w:rsid w:val="1D726CE7"/>
    <w:rsid w:val="1D986702"/>
    <w:rsid w:val="1DDE529B"/>
    <w:rsid w:val="1EA10561"/>
    <w:rsid w:val="213B27FF"/>
    <w:rsid w:val="23D46F68"/>
    <w:rsid w:val="24605528"/>
    <w:rsid w:val="24965FC8"/>
    <w:rsid w:val="24B242EF"/>
    <w:rsid w:val="25CF4CDA"/>
    <w:rsid w:val="25FA2F30"/>
    <w:rsid w:val="26253AEA"/>
    <w:rsid w:val="26CD4921"/>
    <w:rsid w:val="278358C9"/>
    <w:rsid w:val="279463BB"/>
    <w:rsid w:val="286306AA"/>
    <w:rsid w:val="2869162A"/>
    <w:rsid w:val="29260B99"/>
    <w:rsid w:val="296F1670"/>
    <w:rsid w:val="2A061B5F"/>
    <w:rsid w:val="2A856EF0"/>
    <w:rsid w:val="2C4129D3"/>
    <w:rsid w:val="2C896F9D"/>
    <w:rsid w:val="2D0F6111"/>
    <w:rsid w:val="2E4B601F"/>
    <w:rsid w:val="2ECB6CDF"/>
    <w:rsid w:val="2EFC0553"/>
    <w:rsid w:val="2FD01134"/>
    <w:rsid w:val="303E16CD"/>
    <w:rsid w:val="304A5464"/>
    <w:rsid w:val="308A3A5B"/>
    <w:rsid w:val="31556FBA"/>
    <w:rsid w:val="315849CF"/>
    <w:rsid w:val="321C56B5"/>
    <w:rsid w:val="32AD1AD9"/>
    <w:rsid w:val="333635DC"/>
    <w:rsid w:val="33407A9E"/>
    <w:rsid w:val="33DE5AF1"/>
    <w:rsid w:val="349C55A8"/>
    <w:rsid w:val="34AC1FA1"/>
    <w:rsid w:val="366342BF"/>
    <w:rsid w:val="36A52343"/>
    <w:rsid w:val="37806448"/>
    <w:rsid w:val="38886DCA"/>
    <w:rsid w:val="39541237"/>
    <w:rsid w:val="39FA3FFE"/>
    <w:rsid w:val="3A15504C"/>
    <w:rsid w:val="3A790E32"/>
    <w:rsid w:val="3AB00256"/>
    <w:rsid w:val="3AD755D0"/>
    <w:rsid w:val="3B0009D7"/>
    <w:rsid w:val="3C7637F7"/>
    <w:rsid w:val="3D3A70F6"/>
    <w:rsid w:val="3E3B66E2"/>
    <w:rsid w:val="3F347D3E"/>
    <w:rsid w:val="403D54B6"/>
    <w:rsid w:val="40D60A8C"/>
    <w:rsid w:val="40F12D92"/>
    <w:rsid w:val="41024195"/>
    <w:rsid w:val="419D3557"/>
    <w:rsid w:val="42B95966"/>
    <w:rsid w:val="43035861"/>
    <w:rsid w:val="43570169"/>
    <w:rsid w:val="436A3180"/>
    <w:rsid w:val="43D83A6A"/>
    <w:rsid w:val="450A3A5E"/>
    <w:rsid w:val="45751840"/>
    <w:rsid w:val="460005BB"/>
    <w:rsid w:val="47217935"/>
    <w:rsid w:val="472D1DA2"/>
    <w:rsid w:val="47483C1E"/>
    <w:rsid w:val="477D0FFD"/>
    <w:rsid w:val="478F1F05"/>
    <w:rsid w:val="4800556F"/>
    <w:rsid w:val="48D845AE"/>
    <w:rsid w:val="49C67347"/>
    <w:rsid w:val="4A2B750B"/>
    <w:rsid w:val="4AB06A05"/>
    <w:rsid w:val="4B9D24CE"/>
    <w:rsid w:val="4BCC5890"/>
    <w:rsid w:val="4C1C5B1B"/>
    <w:rsid w:val="4D3D1623"/>
    <w:rsid w:val="4E651D1A"/>
    <w:rsid w:val="4F2B2D6A"/>
    <w:rsid w:val="4F3F1C24"/>
    <w:rsid w:val="4F96663D"/>
    <w:rsid w:val="50B84A4F"/>
    <w:rsid w:val="51412990"/>
    <w:rsid w:val="525C180F"/>
    <w:rsid w:val="529E4A1C"/>
    <w:rsid w:val="52DB12D4"/>
    <w:rsid w:val="534502A4"/>
    <w:rsid w:val="54507403"/>
    <w:rsid w:val="54A45BCE"/>
    <w:rsid w:val="55A1633A"/>
    <w:rsid w:val="55C114F6"/>
    <w:rsid w:val="5614632E"/>
    <w:rsid w:val="57345B4E"/>
    <w:rsid w:val="597E592B"/>
    <w:rsid w:val="5A3F4608"/>
    <w:rsid w:val="5A5566F4"/>
    <w:rsid w:val="5B3A2D4C"/>
    <w:rsid w:val="5B4E2A95"/>
    <w:rsid w:val="5BD61C56"/>
    <w:rsid w:val="5D670002"/>
    <w:rsid w:val="5D7F14F2"/>
    <w:rsid w:val="5D846725"/>
    <w:rsid w:val="5DC05EB0"/>
    <w:rsid w:val="5E351DB9"/>
    <w:rsid w:val="5E797281"/>
    <w:rsid w:val="5F1523B9"/>
    <w:rsid w:val="5F9D56AB"/>
    <w:rsid w:val="61104DB0"/>
    <w:rsid w:val="612A5313"/>
    <w:rsid w:val="616001B6"/>
    <w:rsid w:val="62B10436"/>
    <w:rsid w:val="63531A8F"/>
    <w:rsid w:val="63856CAE"/>
    <w:rsid w:val="63D6320E"/>
    <w:rsid w:val="642804FD"/>
    <w:rsid w:val="647358E7"/>
    <w:rsid w:val="65125B3C"/>
    <w:rsid w:val="66124841"/>
    <w:rsid w:val="666E5448"/>
    <w:rsid w:val="66CF42EB"/>
    <w:rsid w:val="67DD53A3"/>
    <w:rsid w:val="69343784"/>
    <w:rsid w:val="698C2715"/>
    <w:rsid w:val="6BCC59CF"/>
    <w:rsid w:val="6CDF0597"/>
    <w:rsid w:val="6D925B1F"/>
    <w:rsid w:val="6EA42E59"/>
    <w:rsid w:val="70500FE2"/>
    <w:rsid w:val="71646722"/>
    <w:rsid w:val="729057D5"/>
    <w:rsid w:val="72BF1D17"/>
    <w:rsid w:val="733A3E06"/>
    <w:rsid w:val="73851776"/>
    <w:rsid w:val="73E129E9"/>
    <w:rsid w:val="7486651F"/>
    <w:rsid w:val="74925E8C"/>
    <w:rsid w:val="7598064C"/>
    <w:rsid w:val="75B10841"/>
    <w:rsid w:val="76572DFC"/>
    <w:rsid w:val="76C164E2"/>
    <w:rsid w:val="77443FA1"/>
    <w:rsid w:val="77B7709D"/>
    <w:rsid w:val="77DD1D3F"/>
    <w:rsid w:val="781B5C33"/>
    <w:rsid w:val="7869124F"/>
    <w:rsid w:val="7904517E"/>
    <w:rsid w:val="79345BC1"/>
    <w:rsid w:val="7A747897"/>
    <w:rsid w:val="7ACB41B1"/>
    <w:rsid w:val="7BA63112"/>
    <w:rsid w:val="7E1A53EA"/>
    <w:rsid w:val="7E812BA7"/>
    <w:rsid w:val="7EDB44D5"/>
    <w:rsid w:val="7F245991"/>
    <w:rsid w:val="7F2F2459"/>
    <w:rsid w:val="7F3E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qFormat="1" w:uiPriority="0" w:name="HTML Acronym"/>
    <w:lsdException w:uiPriority="0" w:name="HTML Address"/>
    <w:lsdException w:qFormat="1" w:uiPriority="0" w:name="HTML Cite"/>
    <w:lsdException w:qFormat="1" w:uiPriority="0" w:name="HTML Code"/>
    <w:lsdException w:qFormat="1" w:uiPriority="0" w:name="HTML Definition"/>
    <w:lsdException w:qFormat="1" w:uiPriority="0" w:name="HTML Keyboard"/>
    <w:lsdException w:uiPriority="0" w:name="HTML Preformatted"/>
    <w:lsdException w:qFormat="1" w:uiPriority="0" w:name="HTML Sample"/>
    <w:lsdException w:qFormat="1" w:uiPriority="0" w:name="HTML Typewriter"/>
    <w:lsdException w:qFormat="1" w:uiPriority="0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4"/>
    <w:link w:val="105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5">
    <w:name w:val="heading 3"/>
    <w:basedOn w:val="1"/>
    <w:next w:val="1"/>
    <w:link w:val="106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115"/>
    <w:qFormat/>
    <w:uiPriority w:val="0"/>
    <w:pPr>
      <w:keepNext/>
      <w:keepLines/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link w:val="94"/>
    <w:qFormat/>
    <w:uiPriority w:val="0"/>
    <w:pPr>
      <w:keepNext/>
      <w:keepLines/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7"/>
    <w:next w:val="1"/>
    <w:link w:val="96"/>
    <w:qFormat/>
    <w:uiPriority w:val="0"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98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10">
    <w:name w:val="heading 8"/>
    <w:basedOn w:val="9"/>
    <w:next w:val="1"/>
    <w:link w:val="99"/>
    <w:qFormat/>
    <w:uiPriority w:val="0"/>
    <w:pPr>
      <w:outlineLvl w:val="7"/>
    </w:pPr>
  </w:style>
  <w:style w:type="paragraph" w:styleId="11">
    <w:name w:val="heading 9"/>
    <w:basedOn w:val="10"/>
    <w:next w:val="1"/>
    <w:link w:val="101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3">
    <w:name w:val="Default Paragraph Font"/>
    <w:semiHidden/>
    <w:unhideWhenUsed/>
    <w:qFormat/>
    <w:uiPriority w:val="1"/>
  </w:style>
  <w:style w:type="table" w:default="1" w:styleId="4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styleId="12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3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4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5">
    <w:name w:val="Document Map"/>
    <w:basedOn w:val="1"/>
    <w:link w:val="117"/>
    <w:qFormat/>
    <w:uiPriority w:val="0"/>
    <w:rPr>
      <w:rFonts w:ascii="宋体"/>
      <w:sz w:val="18"/>
      <w:szCs w:val="18"/>
    </w:rPr>
  </w:style>
  <w:style w:type="paragraph" w:styleId="16">
    <w:name w:val="annotation text"/>
    <w:basedOn w:val="1"/>
    <w:link w:val="109"/>
    <w:qFormat/>
    <w:uiPriority w:val="0"/>
  </w:style>
  <w:style w:type="paragraph" w:styleId="17">
    <w:name w:val="Body Text 3"/>
    <w:basedOn w:val="1"/>
    <w:link w:val="119"/>
    <w:qFormat/>
    <w:uiPriority w:val="0"/>
    <w:pPr>
      <w:spacing w:after="120"/>
    </w:pPr>
    <w:rPr>
      <w:sz w:val="16"/>
      <w:szCs w:val="16"/>
    </w:rPr>
  </w:style>
  <w:style w:type="paragraph" w:styleId="18">
    <w:name w:val="Body Text"/>
    <w:basedOn w:val="1"/>
    <w:link w:val="113"/>
    <w:qFormat/>
    <w:uiPriority w:val="0"/>
    <w:pPr>
      <w:spacing w:after="120"/>
    </w:pPr>
  </w:style>
  <w:style w:type="paragraph" w:styleId="19">
    <w:name w:val="Body Text Indent"/>
    <w:basedOn w:val="1"/>
    <w:link w:val="103"/>
    <w:qFormat/>
    <w:uiPriority w:val="0"/>
    <w:pPr>
      <w:spacing w:after="120"/>
      <w:ind w:left="420" w:leftChars="200"/>
    </w:pPr>
  </w:style>
  <w:style w:type="paragraph" w:styleId="20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1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2">
    <w:name w:val="Plain Text"/>
    <w:basedOn w:val="1"/>
    <w:link w:val="104"/>
    <w:qFormat/>
    <w:uiPriority w:val="0"/>
    <w:rPr>
      <w:rFonts w:ascii="宋体" w:hAnsi="Courier New"/>
    </w:rPr>
  </w:style>
  <w:style w:type="paragraph" w:styleId="23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4">
    <w:name w:val="Date"/>
    <w:basedOn w:val="1"/>
    <w:next w:val="1"/>
    <w:link w:val="122"/>
    <w:qFormat/>
    <w:uiPriority w:val="0"/>
    <w:pPr>
      <w:ind w:left="100" w:leftChars="2500"/>
    </w:pPr>
  </w:style>
  <w:style w:type="paragraph" w:styleId="25">
    <w:name w:val="Body Text Indent 2"/>
    <w:basedOn w:val="1"/>
    <w:link w:val="100"/>
    <w:qFormat/>
    <w:uiPriority w:val="0"/>
    <w:pPr>
      <w:spacing w:after="120" w:line="480" w:lineRule="auto"/>
      <w:ind w:left="420" w:leftChars="200"/>
    </w:pPr>
  </w:style>
  <w:style w:type="paragraph" w:styleId="26">
    <w:name w:val="Balloon Text"/>
    <w:basedOn w:val="1"/>
    <w:link w:val="108"/>
    <w:qFormat/>
    <w:uiPriority w:val="0"/>
    <w:rPr>
      <w:sz w:val="18"/>
      <w:szCs w:val="18"/>
    </w:rPr>
  </w:style>
  <w:style w:type="paragraph" w:styleId="27">
    <w:name w:val="footer"/>
    <w:basedOn w:val="1"/>
    <w:link w:val="107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header"/>
    <w:basedOn w:val="1"/>
    <w:link w:val="95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30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1">
    <w:name w:val="index heading"/>
    <w:basedOn w:val="1"/>
    <w:next w:val="32"/>
    <w:qFormat/>
    <w:uiPriority w:val="0"/>
    <w:pPr>
      <w:spacing w:line="300" w:lineRule="auto"/>
    </w:pPr>
    <w:rPr>
      <w:rFonts w:eastAsia="楷体_GB2312"/>
      <w:sz w:val="24"/>
    </w:rPr>
  </w:style>
  <w:style w:type="paragraph" w:styleId="32">
    <w:name w:val="index 1"/>
    <w:basedOn w:val="1"/>
    <w:next w:val="1"/>
    <w:qFormat/>
    <w:uiPriority w:val="0"/>
  </w:style>
  <w:style w:type="paragraph" w:styleId="33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1"/>
    <w:link w:val="116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5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6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7">
    <w:name w:val="Body Text 2"/>
    <w:basedOn w:val="1"/>
    <w:link w:val="120"/>
    <w:qFormat/>
    <w:uiPriority w:val="0"/>
    <w:pPr>
      <w:spacing w:after="120" w:line="480" w:lineRule="auto"/>
    </w:pPr>
  </w:style>
  <w:style w:type="paragraph" w:styleId="38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9">
    <w:name w:val="Title"/>
    <w:basedOn w:val="1"/>
    <w:link w:val="97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40">
    <w:name w:val="annotation subject"/>
    <w:basedOn w:val="16"/>
    <w:next w:val="16"/>
    <w:link w:val="138"/>
    <w:semiHidden/>
    <w:unhideWhenUsed/>
    <w:qFormat/>
    <w:uiPriority w:val="0"/>
    <w:rPr>
      <w:b/>
      <w:bCs/>
    </w:rPr>
  </w:style>
  <w:style w:type="paragraph" w:styleId="41">
    <w:name w:val="Body Text First Indent"/>
    <w:basedOn w:val="18"/>
    <w:link w:val="112"/>
    <w:qFormat/>
    <w:uiPriority w:val="0"/>
    <w:pPr>
      <w:ind w:firstLine="100" w:firstLineChars="100"/>
    </w:pPr>
  </w:style>
  <w:style w:type="character" w:styleId="44">
    <w:name w:val="Strong"/>
    <w:qFormat/>
    <w:uiPriority w:val="0"/>
    <w:rPr>
      <w:b/>
      <w:bCs/>
    </w:rPr>
  </w:style>
  <w:style w:type="character" w:styleId="45">
    <w:name w:val="page number"/>
    <w:basedOn w:val="43"/>
    <w:qFormat/>
    <w:uiPriority w:val="0"/>
  </w:style>
  <w:style w:type="character" w:styleId="46">
    <w:name w:val="FollowedHyperlink"/>
    <w:qFormat/>
    <w:uiPriority w:val="0"/>
    <w:rPr>
      <w:color w:val="800080"/>
      <w:u w:val="single"/>
    </w:rPr>
  </w:style>
  <w:style w:type="character" w:styleId="47">
    <w:name w:val="Emphasis"/>
    <w:basedOn w:val="43"/>
    <w:qFormat/>
    <w:uiPriority w:val="20"/>
    <w:rPr>
      <w:b/>
    </w:rPr>
  </w:style>
  <w:style w:type="character" w:styleId="48">
    <w:name w:val="HTML Definition"/>
    <w:basedOn w:val="43"/>
    <w:semiHidden/>
    <w:unhideWhenUsed/>
    <w:qFormat/>
    <w:uiPriority w:val="0"/>
  </w:style>
  <w:style w:type="character" w:styleId="49">
    <w:name w:val="HTML Typewriter"/>
    <w:basedOn w:val="43"/>
    <w:semiHidden/>
    <w:unhideWhenUsed/>
    <w:qFormat/>
    <w:uiPriority w:val="0"/>
    <w:rPr>
      <w:rFonts w:hint="default" w:ascii="monospace" w:hAnsi="monospace" w:eastAsia="monospace" w:cs="monospace"/>
      <w:sz w:val="20"/>
    </w:rPr>
  </w:style>
  <w:style w:type="character" w:styleId="50">
    <w:name w:val="HTML Acronym"/>
    <w:basedOn w:val="43"/>
    <w:semiHidden/>
    <w:unhideWhenUsed/>
    <w:qFormat/>
    <w:uiPriority w:val="0"/>
  </w:style>
  <w:style w:type="character" w:styleId="51">
    <w:name w:val="HTML Variable"/>
    <w:basedOn w:val="43"/>
    <w:semiHidden/>
    <w:unhideWhenUsed/>
    <w:qFormat/>
    <w:uiPriority w:val="0"/>
  </w:style>
  <w:style w:type="character" w:styleId="52">
    <w:name w:val="Hyperlink"/>
    <w:basedOn w:val="43"/>
    <w:qFormat/>
    <w:uiPriority w:val="99"/>
    <w:rPr>
      <w:color w:val="0000FF"/>
      <w:u w:val="single"/>
    </w:rPr>
  </w:style>
  <w:style w:type="character" w:styleId="53">
    <w:name w:val="HTML Code"/>
    <w:basedOn w:val="43"/>
    <w:semiHidden/>
    <w:unhideWhenUsed/>
    <w:qFormat/>
    <w:uiPriority w:val="0"/>
    <w:rPr>
      <w:rFonts w:hint="default" w:ascii="monospace" w:hAnsi="monospace" w:eastAsia="monospace" w:cs="monospace"/>
      <w:sz w:val="20"/>
    </w:rPr>
  </w:style>
  <w:style w:type="character" w:styleId="54">
    <w:name w:val="annotation reference"/>
    <w:qFormat/>
    <w:uiPriority w:val="0"/>
    <w:rPr>
      <w:sz w:val="21"/>
      <w:szCs w:val="21"/>
    </w:rPr>
  </w:style>
  <w:style w:type="character" w:styleId="55">
    <w:name w:val="HTML Cite"/>
    <w:basedOn w:val="43"/>
    <w:semiHidden/>
    <w:unhideWhenUsed/>
    <w:qFormat/>
    <w:uiPriority w:val="0"/>
  </w:style>
  <w:style w:type="character" w:styleId="56">
    <w:name w:val="HTML Keyboard"/>
    <w:basedOn w:val="43"/>
    <w:semiHidden/>
    <w:unhideWhenUsed/>
    <w:qFormat/>
    <w:uiPriority w:val="0"/>
    <w:rPr>
      <w:rFonts w:ascii="monospace" w:hAnsi="monospace" w:eastAsia="monospace" w:cs="monospace"/>
      <w:sz w:val="20"/>
    </w:rPr>
  </w:style>
  <w:style w:type="character" w:styleId="57">
    <w:name w:val="HTML Sample"/>
    <w:basedOn w:val="43"/>
    <w:semiHidden/>
    <w:unhideWhenUsed/>
    <w:qFormat/>
    <w:uiPriority w:val="0"/>
    <w:rPr>
      <w:rFonts w:hint="default" w:ascii="monospace" w:hAnsi="monospace" w:eastAsia="monospace" w:cs="monospace"/>
    </w:rPr>
  </w:style>
  <w:style w:type="paragraph" w:customStyle="1" w:styleId="58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9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60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61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62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63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64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65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66">
    <w:name w:val="Char Char Char Char"/>
    <w:basedOn w:val="15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67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68">
    <w:name w:val="样式1"/>
    <w:basedOn w:val="1"/>
    <w:link w:val="139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9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70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71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72">
    <w:name w:val="列出段落1"/>
    <w:basedOn w:val="1"/>
    <w:qFormat/>
    <w:uiPriority w:val="34"/>
  </w:style>
  <w:style w:type="paragraph" w:customStyle="1" w:styleId="73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74">
    <w:name w:val="FA正文"/>
    <w:basedOn w:val="1"/>
    <w:link w:val="118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75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76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77">
    <w:name w:val="样式2"/>
    <w:basedOn w:val="1"/>
    <w:link w:val="124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78">
    <w:name w:val="样式3"/>
    <w:basedOn w:val="28"/>
    <w:link w:val="125"/>
    <w:qFormat/>
    <w:uiPriority w:val="0"/>
    <w:pPr>
      <w:ind w:firstLine="360"/>
    </w:pPr>
  </w:style>
  <w:style w:type="paragraph" w:customStyle="1" w:styleId="79">
    <w:name w:val="样式4"/>
    <w:basedOn w:val="78"/>
    <w:link w:val="126"/>
    <w:qFormat/>
    <w:uiPriority w:val="0"/>
  </w:style>
  <w:style w:type="paragraph" w:customStyle="1" w:styleId="80">
    <w:name w:val="样式5"/>
    <w:basedOn w:val="28"/>
    <w:link w:val="127"/>
    <w:qFormat/>
    <w:uiPriority w:val="0"/>
    <w:pPr>
      <w:ind w:firstLine="360"/>
    </w:pPr>
  </w:style>
  <w:style w:type="paragraph" w:customStyle="1" w:styleId="81">
    <w:name w:val="样式6"/>
    <w:basedOn w:val="28"/>
    <w:link w:val="128"/>
    <w:qFormat/>
    <w:uiPriority w:val="0"/>
    <w:pPr>
      <w:ind w:firstLine="360"/>
    </w:pPr>
  </w:style>
  <w:style w:type="paragraph" w:customStyle="1" w:styleId="82">
    <w:name w:val="样式7"/>
    <w:basedOn w:val="5"/>
    <w:link w:val="129"/>
    <w:qFormat/>
    <w:uiPriority w:val="0"/>
  </w:style>
  <w:style w:type="paragraph" w:customStyle="1" w:styleId="83">
    <w:name w:val="样式8"/>
    <w:basedOn w:val="27"/>
    <w:link w:val="130"/>
    <w:qFormat/>
    <w:uiPriority w:val="0"/>
    <w:pPr>
      <w:ind w:firstLine="0" w:firstLineChars="0"/>
      <w:jc w:val="left"/>
    </w:pPr>
  </w:style>
  <w:style w:type="paragraph" w:customStyle="1" w:styleId="84">
    <w:name w:val="样式9"/>
    <w:basedOn w:val="83"/>
    <w:link w:val="131"/>
    <w:qFormat/>
    <w:uiPriority w:val="0"/>
    <w:pPr>
      <w:jc w:val="center"/>
    </w:pPr>
  </w:style>
  <w:style w:type="paragraph" w:customStyle="1" w:styleId="85">
    <w:name w:val="样式10"/>
    <w:basedOn w:val="84"/>
    <w:link w:val="132"/>
    <w:qFormat/>
    <w:uiPriority w:val="0"/>
    <w:pPr>
      <w:pBdr>
        <w:top w:val="single" w:color="76923C" w:sz="24" w:space="1"/>
      </w:pBdr>
    </w:pPr>
  </w:style>
  <w:style w:type="paragraph" w:customStyle="1" w:styleId="86">
    <w:name w:val="样式11"/>
    <w:basedOn w:val="85"/>
    <w:link w:val="133"/>
    <w:qFormat/>
    <w:uiPriority w:val="0"/>
    <w:pPr>
      <w:pBdr>
        <w:top w:val="none" w:color="auto" w:sz="0" w:space="0"/>
      </w:pBdr>
    </w:pPr>
  </w:style>
  <w:style w:type="paragraph" w:customStyle="1" w:styleId="87">
    <w:name w:val="样式12"/>
    <w:basedOn w:val="86"/>
    <w:link w:val="134"/>
    <w:qFormat/>
    <w:uiPriority w:val="0"/>
  </w:style>
  <w:style w:type="paragraph" w:customStyle="1" w:styleId="88">
    <w:name w:val="样式13"/>
    <w:basedOn w:val="82"/>
    <w:link w:val="135"/>
    <w:qFormat/>
    <w:uiPriority w:val="0"/>
  </w:style>
  <w:style w:type="paragraph" w:customStyle="1" w:styleId="89">
    <w:name w:val="2"/>
    <w:basedOn w:val="1"/>
    <w:link w:val="136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90">
    <w:name w:val="1"/>
    <w:basedOn w:val="1"/>
    <w:link w:val="137"/>
    <w:qFormat/>
    <w:uiPriority w:val="0"/>
    <w:pPr>
      <w:ind w:firstLine="0" w:firstLineChars="0"/>
    </w:pPr>
  </w:style>
  <w:style w:type="paragraph" w:customStyle="1" w:styleId="91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92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3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94">
    <w:name w:val="标题 5 Char"/>
    <w:link w:val="7"/>
    <w:qFormat/>
    <w:uiPriority w:val="0"/>
    <w:rPr>
      <w:b/>
      <w:bCs/>
      <w:kern w:val="2"/>
      <w:sz w:val="28"/>
      <w:szCs w:val="28"/>
    </w:rPr>
  </w:style>
  <w:style w:type="character" w:customStyle="1" w:styleId="95">
    <w:name w:val="页眉 Char"/>
    <w:link w:val="28"/>
    <w:qFormat/>
    <w:uiPriority w:val="99"/>
    <w:rPr>
      <w:kern w:val="2"/>
      <w:sz w:val="18"/>
      <w:szCs w:val="18"/>
    </w:rPr>
  </w:style>
  <w:style w:type="character" w:customStyle="1" w:styleId="96">
    <w:name w:val="标题 6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97">
    <w:name w:val="标题 Char"/>
    <w:link w:val="39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98">
    <w:name w:val="标题 7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9">
    <w:name w:val="标题 8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100">
    <w:name w:val="正文文本缩进 2 Char"/>
    <w:link w:val="25"/>
    <w:qFormat/>
    <w:uiPriority w:val="0"/>
    <w:rPr>
      <w:kern w:val="2"/>
      <w:sz w:val="21"/>
      <w:szCs w:val="24"/>
    </w:rPr>
  </w:style>
  <w:style w:type="character" w:customStyle="1" w:styleId="101">
    <w:name w:val="标题 9 Char"/>
    <w:link w:val="11"/>
    <w:qFormat/>
    <w:uiPriority w:val="0"/>
    <w:rPr>
      <w:b/>
      <w:bCs/>
      <w:kern w:val="2"/>
      <w:sz w:val="30"/>
      <w:szCs w:val="18"/>
    </w:rPr>
  </w:style>
  <w:style w:type="character" w:customStyle="1" w:styleId="102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103">
    <w:name w:val="正文文本缩进 Char"/>
    <w:link w:val="19"/>
    <w:qFormat/>
    <w:uiPriority w:val="0"/>
    <w:rPr>
      <w:kern w:val="2"/>
      <w:sz w:val="21"/>
      <w:szCs w:val="24"/>
    </w:rPr>
  </w:style>
  <w:style w:type="character" w:customStyle="1" w:styleId="104">
    <w:name w:val="纯文本 Char"/>
    <w:link w:val="22"/>
    <w:qFormat/>
    <w:uiPriority w:val="0"/>
    <w:rPr>
      <w:rFonts w:ascii="宋体" w:hAnsi="Courier New"/>
      <w:kern w:val="2"/>
      <w:sz w:val="21"/>
    </w:rPr>
  </w:style>
  <w:style w:type="character" w:customStyle="1" w:styleId="105">
    <w:name w:val="标题 2 Char"/>
    <w:link w:val="3"/>
    <w:qFormat/>
    <w:uiPriority w:val="0"/>
    <w:rPr>
      <w:b/>
      <w:bCs/>
      <w:kern w:val="2"/>
      <w:sz w:val="30"/>
      <w:szCs w:val="32"/>
    </w:rPr>
  </w:style>
  <w:style w:type="character" w:customStyle="1" w:styleId="106">
    <w:name w:val="标题 3 Char"/>
    <w:link w:val="5"/>
    <w:qFormat/>
    <w:uiPriority w:val="0"/>
    <w:rPr>
      <w:b/>
      <w:bCs/>
      <w:kern w:val="2"/>
      <w:sz w:val="28"/>
      <w:szCs w:val="18"/>
    </w:rPr>
  </w:style>
  <w:style w:type="character" w:customStyle="1" w:styleId="107">
    <w:name w:val="页脚 Char"/>
    <w:link w:val="27"/>
    <w:qFormat/>
    <w:uiPriority w:val="99"/>
    <w:rPr>
      <w:kern w:val="2"/>
      <w:sz w:val="18"/>
      <w:szCs w:val="18"/>
    </w:rPr>
  </w:style>
  <w:style w:type="character" w:customStyle="1" w:styleId="108">
    <w:name w:val="批注框文本 Char"/>
    <w:link w:val="26"/>
    <w:qFormat/>
    <w:uiPriority w:val="0"/>
    <w:rPr>
      <w:kern w:val="2"/>
      <w:sz w:val="18"/>
      <w:szCs w:val="18"/>
    </w:rPr>
  </w:style>
  <w:style w:type="character" w:customStyle="1" w:styleId="109">
    <w:name w:val="批注文字 Char"/>
    <w:link w:val="16"/>
    <w:qFormat/>
    <w:uiPriority w:val="0"/>
    <w:rPr>
      <w:kern w:val="2"/>
      <w:sz w:val="21"/>
      <w:szCs w:val="24"/>
    </w:rPr>
  </w:style>
  <w:style w:type="character" w:customStyle="1" w:styleId="110">
    <w:name w:val="14_black1"/>
    <w:qFormat/>
    <w:uiPriority w:val="0"/>
    <w:rPr>
      <w:color w:val="000000"/>
      <w:sz w:val="23"/>
      <w:szCs w:val="23"/>
    </w:rPr>
  </w:style>
  <w:style w:type="character" w:customStyle="1" w:styleId="111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12">
    <w:name w:val="正文首行缩进 Char"/>
    <w:link w:val="41"/>
    <w:qFormat/>
    <w:uiPriority w:val="0"/>
    <w:rPr>
      <w:kern w:val="2"/>
      <w:sz w:val="21"/>
      <w:szCs w:val="24"/>
    </w:rPr>
  </w:style>
  <w:style w:type="character" w:customStyle="1" w:styleId="113">
    <w:name w:val="正文文本 Char"/>
    <w:link w:val="18"/>
    <w:qFormat/>
    <w:uiPriority w:val="0"/>
    <w:rPr>
      <w:kern w:val="2"/>
      <w:sz w:val="21"/>
      <w:szCs w:val="24"/>
    </w:rPr>
  </w:style>
  <w:style w:type="character" w:customStyle="1" w:styleId="114">
    <w:name w:val="f141"/>
    <w:qFormat/>
    <w:uiPriority w:val="0"/>
    <w:rPr>
      <w:sz w:val="21"/>
      <w:szCs w:val="21"/>
    </w:rPr>
  </w:style>
  <w:style w:type="character" w:customStyle="1" w:styleId="115">
    <w:name w:val="标题 4 Char"/>
    <w:link w:val="6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16">
    <w:name w:val="正文文本缩进 3 Char"/>
    <w:link w:val="34"/>
    <w:qFormat/>
    <w:uiPriority w:val="0"/>
    <w:rPr>
      <w:kern w:val="2"/>
      <w:sz w:val="16"/>
      <w:szCs w:val="16"/>
    </w:rPr>
  </w:style>
  <w:style w:type="character" w:customStyle="1" w:styleId="117">
    <w:name w:val="文档结构图 Char"/>
    <w:link w:val="15"/>
    <w:qFormat/>
    <w:uiPriority w:val="0"/>
    <w:rPr>
      <w:rFonts w:ascii="宋体"/>
      <w:kern w:val="2"/>
      <w:sz w:val="18"/>
      <w:szCs w:val="18"/>
    </w:rPr>
  </w:style>
  <w:style w:type="character" w:customStyle="1" w:styleId="118">
    <w:name w:val="FA正文 Char"/>
    <w:link w:val="74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9">
    <w:name w:val="正文文本 3 Char"/>
    <w:link w:val="17"/>
    <w:qFormat/>
    <w:uiPriority w:val="0"/>
    <w:rPr>
      <w:kern w:val="2"/>
      <w:sz w:val="16"/>
      <w:szCs w:val="16"/>
    </w:rPr>
  </w:style>
  <w:style w:type="character" w:customStyle="1" w:styleId="120">
    <w:name w:val="正文文本 2 Char"/>
    <w:link w:val="37"/>
    <w:qFormat/>
    <w:uiPriority w:val="0"/>
    <w:rPr>
      <w:kern w:val="2"/>
      <w:sz w:val="21"/>
      <w:szCs w:val="24"/>
    </w:rPr>
  </w:style>
  <w:style w:type="character" w:customStyle="1" w:styleId="121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22">
    <w:name w:val="日期 Char"/>
    <w:link w:val="24"/>
    <w:qFormat/>
    <w:uiPriority w:val="0"/>
    <w:rPr>
      <w:kern w:val="2"/>
      <w:sz w:val="21"/>
      <w:szCs w:val="24"/>
    </w:rPr>
  </w:style>
  <w:style w:type="character" w:customStyle="1" w:styleId="123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24">
    <w:name w:val="样式2 Char"/>
    <w:link w:val="77"/>
    <w:qFormat/>
    <w:uiPriority w:val="0"/>
    <w:rPr>
      <w:b/>
      <w:kern w:val="2"/>
      <w:sz w:val="30"/>
      <w:szCs w:val="24"/>
    </w:rPr>
  </w:style>
  <w:style w:type="character" w:customStyle="1" w:styleId="125">
    <w:name w:val="样式3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4 Char1"/>
    <w:link w:val="79"/>
    <w:qFormat/>
    <w:uiPriority w:val="0"/>
    <w:rPr>
      <w:kern w:val="2"/>
      <w:sz w:val="18"/>
      <w:szCs w:val="18"/>
    </w:rPr>
  </w:style>
  <w:style w:type="character" w:customStyle="1" w:styleId="127">
    <w:name w:val="样式5 Char"/>
    <w:link w:val="80"/>
    <w:qFormat/>
    <w:uiPriority w:val="0"/>
    <w:rPr>
      <w:kern w:val="2"/>
      <w:sz w:val="18"/>
      <w:szCs w:val="18"/>
    </w:rPr>
  </w:style>
  <w:style w:type="character" w:customStyle="1" w:styleId="128">
    <w:name w:val="样式6 Char"/>
    <w:link w:val="81"/>
    <w:qFormat/>
    <w:uiPriority w:val="0"/>
    <w:rPr>
      <w:kern w:val="2"/>
      <w:sz w:val="18"/>
      <w:szCs w:val="18"/>
    </w:rPr>
  </w:style>
  <w:style w:type="character" w:customStyle="1" w:styleId="129">
    <w:name w:val="样式7 Char"/>
    <w:link w:val="82"/>
    <w:qFormat/>
    <w:uiPriority w:val="0"/>
    <w:rPr>
      <w:b/>
      <w:bCs/>
      <w:kern w:val="2"/>
      <w:sz w:val="28"/>
      <w:szCs w:val="18"/>
    </w:rPr>
  </w:style>
  <w:style w:type="character" w:customStyle="1" w:styleId="130">
    <w:name w:val="样式8 Char"/>
    <w:link w:val="83"/>
    <w:qFormat/>
    <w:uiPriority w:val="0"/>
    <w:rPr>
      <w:kern w:val="2"/>
      <w:sz w:val="18"/>
      <w:szCs w:val="18"/>
    </w:rPr>
  </w:style>
  <w:style w:type="character" w:customStyle="1" w:styleId="131">
    <w:name w:val="样式9 Char"/>
    <w:link w:val="84"/>
    <w:qFormat/>
    <w:uiPriority w:val="0"/>
    <w:rPr>
      <w:kern w:val="2"/>
      <w:sz w:val="18"/>
      <w:szCs w:val="18"/>
    </w:rPr>
  </w:style>
  <w:style w:type="character" w:customStyle="1" w:styleId="132">
    <w:name w:val="样式10 Char"/>
    <w:link w:val="85"/>
    <w:qFormat/>
    <w:uiPriority w:val="0"/>
    <w:rPr>
      <w:kern w:val="2"/>
      <w:sz w:val="18"/>
      <w:szCs w:val="18"/>
    </w:rPr>
  </w:style>
  <w:style w:type="character" w:customStyle="1" w:styleId="133">
    <w:name w:val="样式11 Char"/>
    <w:link w:val="86"/>
    <w:qFormat/>
    <w:uiPriority w:val="0"/>
    <w:rPr>
      <w:kern w:val="2"/>
      <w:sz w:val="18"/>
      <w:szCs w:val="18"/>
    </w:rPr>
  </w:style>
  <w:style w:type="character" w:customStyle="1" w:styleId="134">
    <w:name w:val="样式12 Char"/>
    <w:link w:val="87"/>
    <w:qFormat/>
    <w:uiPriority w:val="0"/>
    <w:rPr>
      <w:kern w:val="2"/>
      <w:sz w:val="18"/>
      <w:szCs w:val="18"/>
    </w:rPr>
  </w:style>
  <w:style w:type="character" w:customStyle="1" w:styleId="135">
    <w:name w:val="样式13 Char"/>
    <w:link w:val="88"/>
    <w:qFormat/>
    <w:uiPriority w:val="0"/>
    <w:rPr>
      <w:b/>
      <w:bCs/>
      <w:kern w:val="2"/>
      <w:sz w:val="28"/>
      <w:szCs w:val="18"/>
    </w:rPr>
  </w:style>
  <w:style w:type="character" w:customStyle="1" w:styleId="136">
    <w:name w:val="2 Char"/>
    <w:link w:val="89"/>
    <w:qFormat/>
    <w:uiPriority w:val="0"/>
    <w:rPr>
      <w:spacing w:val="4"/>
      <w:kern w:val="2"/>
      <w:sz w:val="21"/>
      <w:szCs w:val="24"/>
    </w:rPr>
  </w:style>
  <w:style w:type="character" w:customStyle="1" w:styleId="137">
    <w:name w:val="1 Char"/>
    <w:link w:val="90"/>
    <w:qFormat/>
    <w:uiPriority w:val="0"/>
    <w:rPr>
      <w:kern w:val="2"/>
      <w:sz w:val="21"/>
      <w:szCs w:val="24"/>
    </w:rPr>
  </w:style>
  <w:style w:type="character" w:customStyle="1" w:styleId="138">
    <w:name w:val="批注主题 Char"/>
    <w:link w:val="40"/>
    <w:semiHidden/>
    <w:qFormat/>
    <w:uiPriority w:val="0"/>
    <w:rPr>
      <w:b/>
      <w:bCs/>
      <w:kern w:val="2"/>
      <w:sz w:val="21"/>
      <w:szCs w:val="24"/>
    </w:rPr>
  </w:style>
  <w:style w:type="character" w:customStyle="1" w:styleId="139">
    <w:name w:val="样式1 Char"/>
    <w:link w:val="68"/>
    <w:qFormat/>
    <w:uiPriority w:val="0"/>
    <w:rPr>
      <w:kern w:val="2"/>
      <w:sz w:val="24"/>
      <w:szCs w:val="24"/>
    </w:rPr>
  </w:style>
  <w:style w:type="paragraph" w:styleId="140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4" Type="http://schemas.openxmlformats.org/officeDocument/2006/relationships/fontTable" Target="fontTable.xml"/><Relationship Id="rId53" Type="http://schemas.openxmlformats.org/officeDocument/2006/relationships/customXml" Target="../customXml/item1.xml"/><Relationship Id="rId52" Type="http://schemas.openxmlformats.org/officeDocument/2006/relationships/numbering" Target="numbering.xml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B466E-6951-4285-BAB5-CF38359D872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23</Pages>
  <Words>2057</Words>
  <Characters>2295</Characters>
  <Lines>36</Lines>
  <Paragraphs>10</Paragraphs>
  <TotalTime>0</TotalTime>
  <ScaleCrop>false</ScaleCrop>
  <LinksUpToDate>false</LinksUpToDate>
  <CharactersWithSpaces>2334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2014-05-09T02:07:00Z</dcterms:created>
  <dc:creator>黄晨;陆俊峰</dc:creator>
  <cp:lastModifiedBy>Tuestbell</cp:lastModifiedBy>
  <dcterms:modified xsi:type="dcterms:W3CDTF">2023-06-27T08:57:30Z</dcterms:modified>
  <dc:title>操作手册</dc:title>
  <cp:revision>242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51DFB548988D44B998B14E166E9E34B9_13</vt:lpwstr>
  </property>
</Properties>
</file>