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b/>
          <w:sz w:val="52"/>
          <w:szCs w:val="52"/>
        </w:rPr>
      </w:pPr>
      <w:bookmarkStart w:id="0" w:name="_Toc437795496"/>
      <w:bookmarkStart w:id="1" w:name="_Toc438459490"/>
      <w:r>
        <w:rPr>
          <w:rFonts w:hint="eastAsia"/>
          <w:b/>
          <w:sz w:val="52"/>
          <w:szCs w:val="52"/>
        </w:rPr>
        <mc:AlternateContent>
          <mc:Choice Requires="wps">
            <w:drawing>
              <wp:inline distT="0" distB="0" distL="0" distR="0">
                <wp:extent cx="5274310" cy="5876925"/>
                <wp:effectExtent l="0" t="0" r="0" b="9525"/>
                <wp:docPr id="14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587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o:spt="1" style="height:462.75pt;width:415.3pt;" filled="f" stroked="f" coordsize="21600,21600" o:gfxdata="UEsDBAoAAAAAAIdO4kAAAAAAAAAAAAAAAAAEAAAAZHJzL1BLAwQUAAAACACHTuJAW6lecNgAAAAF&#10;AQAADwAAAGRycy9kb3ducmV2LnhtbE2PQUvDQBCF70L/wzIFL2J3W2mpMZseCqVFhGKqPU+zYxLM&#10;zqbZbVL/vasXvQw83uO9b9LV1Taip87XjjVMJwoEceFMzaWGt8PmfgnCB2SDjWPS8EUeVtnoJsXE&#10;uIFfqc9DKWIJ+wQ1VCG0iZS+qMiin7iWOHofrrMYouxKaTocYrlt5EyphbRYc1yosKV1RcVnfrEa&#10;hmLfHw8vW7m/O+4cn3fndf7+rPXteKqeQAS6hr8w/OBHdMgi08ld2HjRaIiPhN8bveWDWoA4aXic&#10;zecgs1T+p8++AVBLAwQUAAAACACHTuJAevFxJekBAADIAwAADgAAAGRycy9lMm9Eb2MueG1srVPB&#10;btswDL0P2D8Iui9OUqdpjThF0aLDgG4r0O0DGFmOhdmiRilxsq8fJSdput2KXgSRlB8fH58XN7uu&#10;FVtN3qAt5WQ0lkJbhZWx61L+/PHw6UoKH8BW0KLVpdxrL2+WHz8selfoKTbYVpoEg1hf9K6UTQiu&#10;yDKvGt2BH6HTlos1UgeBQ1pnFUHP6F2bTcfjy6xHqhyh0t5z9n4oymXCr2utwve69jqItpTMLaST&#10;0rmKZ7ZcQLEmcI1RBxrwBhYdGMtNT1D3EEBsyPwH1RlF6LEOI4VdhnVtlE4z8DST8T/TPDfgdJqF&#10;xfHuJJN/P1j1bftEwlS8u1wKCx3v6HYTMLUWF0mg3vmC3z27J4ojeveI6pcXFu8asGt96x3LzAD8&#10;/TFFhH2joWKmk6hx9gojBp7RxKr/ihV3BO6Y5NvV1MUeLIzYpS3tT1vSuyAUJ2fTeX4x4WUqrs2u&#10;5pfX01nqAcXxc0c+fNbYiXgpJTG/BA/bRx8iHSiOT2I3iw+mbZMVWvsqwQ9jJtGPjKOvfLHCas/s&#10;CQc7sf350iD9kaJnK5XS/94AaSnaL5YVuJ7kefReCvLZfMoBnVdW5xWwiqFKGaQYrndh8OvGkVk3&#10;SeiBY9xTbdI8L6wOZNkuacyDtaMfz+P06uUHX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6le&#10;cNgAAAAFAQAADwAAAAAAAAABACAAAAAiAAAAZHJzL2Rvd25yZXYueG1sUEsBAhQAFAAAAAgAh07i&#10;QHrxcSXpAQAAyAMAAA4AAAAAAAAAAQAgAAAAJw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/>
          <w:b/>
          <w:sz w:val="52"/>
          <w:szCs w:val="52"/>
        </w:rPr>
        <w:t>电子交易平台-招标清单转换工具操作手册</w:t>
      </w:r>
    </w:p>
    <w:p/>
    <w:p/>
    <w:p/>
    <w:p/>
    <w:p/>
    <w:p>
      <w:pPr>
        <w:ind w:firstLine="0" w:firstLineChars="0"/>
      </w:pPr>
    </w:p>
    <w:p>
      <w:pPr>
        <w:pStyle w:val="3"/>
        <w:numPr>
          <w:ilvl w:val="0"/>
          <w:numId w:val="0"/>
        </w:numPr>
      </w:pPr>
      <w:r>
        <w:rPr>
          <w:rFonts w:hint="eastAsia"/>
        </w:rPr>
        <w:t>招标清单文件制作</w:t>
      </w:r>
      <w:bookmarkEnd w:id="0"/>
      <w:bookmarkEnd w:id="1"/>
      <w:bookmarkStart w:id="2" w:name="_Toc437795497"/>
    </w:p>
    <w:p>
      <w:pPr>
        <w:pStyle w:val="4"/>
      </w:pPr>
      <w:bookmarkStart w:id="3" w:name="_Toc291075331"/>
      <w:bookmarkStart w:id="4" w:name="_Toc438459491"/>
      <w:bookmarkStart w:id="5" w:name="_Toc367655541"/>
      <w:bookmarkStart w:id="6" w:name="_Toc434845656"/>
      <w:bookmarkStart w:id="7" w:name="_Toc291075531"/>
      <w:r>
        <w:rPr>
          <w:rFonts w:hint="eastAsia"/>
        </w:rPr>
        <w:t>环境要求</w:t>
      </w:r>
      <w:bookmarkEnd w:id="3"/>
      <w:bookmarkEnd w:id="4"/>
      <w:bookmarkEnd w:id="5"/>
      <w:bookmarkEnd w:id="6"/>
      <w:bookmarkEnd w:id="7"/>
    </w:p>
    <w:p>
      <w:r>
        <w:t>1</w:t>
      </w:r>
      <w:r>
        <w:rPr>
          <w:rFonts w:hint="eastAsia"/>
        </w:rPr>
        <w:t>、操作系统要求：</w:t>
      </w:r>
    </w:p>
    <w:p>
      <w:r>
        <w:t xml:space="preserve">Windows 2003/ XP /Vista/Win7 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7版本。</w:t>
      </w:r>
    </w:p>
    <w:p>
      <w:r>
        <w:t>2</w:t>
      </w:r>
      <w:r>
        <w:rPr>
          <w:rFonts w:hint="eastAsia"/>
        </w:rPr>
        <w:t>、硬件要求：</w:t>
      </w:r>
    </w:p>
    <w:p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>
      <w:r>
        <w:t>3</w:t>
      </w:r>
      <w:r>
        <w:rPr>
          <w:rFonts w:hint="eastAsia"/>
        </w:rPr>
        <w:t>、辅助软件：</w:t>
      </w:r>
    </w:p>
    <w:p>
      <w:r>
        <w:rPr>
          <w:rFonts w:hint="eastAsia"/>
        </w:rPr>
        <w:t>微软</w:t>
      </w:r>
      <w:r>
        <w:t>Office</w:t>
      </w:r>
      <w:r>
        <w:rPr>
          <w:rFonts w:hint="eastAsia"/>
        </w:rPr>
        <w:t>2007或以上版本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2010）。（注：WPS不能替代Office）</w:t>
      </w:r>
    </w:p>
    <w:p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>
      <w:pPr>
        <w:pStyle w:val="4"/>
      </w:pPr>
      <w:bookmarkStart w:id="8" w:name="_Toc438459492"/>
      <w:r>
        <w:rPr>
          <w:rFonts w:hint="eastAsia"/>
        </w:rPr>
        <w:t>软件安装步骤</w:t>
      </w:r>
      <w:bookmarkEnd w:id="8"/>
    </w:p>
    <w:p>
      <w:r>
        <w:rPr>
          <w:rFonts w:hint="eastAsia"/>
        </w:rPr>
        <w:t>软件采用向导式安装界面，双击安装程序进入欢迎页面，点击&lt;下一步&gt;进入用户协议的界面。</w:t>
      </w:r>
    </w:p>
    <w:p>
      <w:r>
        <w:drawing>
          <wp:inline distT="0" distB="0" distL="0" distR="0">
            <wp:extent cx="4790440" cy="37141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如用户在阅读许可协议后，同意许可协议的内容，点击&lt;下一步&gt;。</w:t>
      </w:r>
    </w:p>
    <w:p>
      <w:r>
        <w:drawing>
          <wp:inline distT="0" distB="0" distL="0" distR="0">
            <wp:extent cx="4790440" cy="37141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5" w:leftChars="200" w:hanging="105" w:hangingChars="50"/>
      </w:pPr>
      <w:r>
        <w:rPr>
          <w:rFonts w:hint="eastAsia"/>
        </w:rPr>
        <w:t>选择软件安装的路径后，点击&lt;下一步&gt;。安装路径默认为“</w:t>
      </w:r>
      <w:r>
        <w:t>c:\Epoint\</w:t>
      </w:r>
      <w:r>
        <w:rPr>
          <w:rFonts w:hint="eastAsia"/>
        </w:rPr>
        <w:t>新点投标工具”，可以直接修改路径或点击&lt;更改&gt;来改变，</w:t>
      </w:r>
      <w:r>
        <w:rPr>
          <w:rFonts w:hint="eastAsia"/>
          <w:b/>
        </w:rPr>
        <w:t>建议选择默认路径</w:t>
      </w:r>
      <w:r>
        <w:rPr>
          <w:rFonts w:hint="eastAsia"/>
        </w:rPr>
        <w:t>。</w:t>
      </w:r>
    </w:p>
    <w:p>
      <w:pPr>
        <w:ind w:left="525" w:leftChars="200" w:hanging="105" w:hangingChars="50"/>
      </w:pPr>
      <w:r>
        <w:drawing>
          <wp:inline distT="0" distB="0" distL="0" distR="0">
            <wp:extent cx="4790440" cy="37141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确认安装的信息，如还需更改，点击&lt;返回&gt;，可回到前面的界面进行更改，如不需要更改，直接点击&lt;下一步&gt;进入开始安装界面，进度条会显示软件安装的完成情况。</w:t>
      </w:r>
    </w:p>
    <w:p>
      <w:r>
        <w:drawing>
          <wp:inline distT="0" distB="0" distL="0" distR="0">
            <wp:extent cx="4790440" cy="37141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790440" cy="37141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软件提示安装成功后，点击下方&lt;完成&gt;按钮，软件安装完成。</w:t>
      </w:r>
    </w:p>
    <w:p>
      <w:r>
        <w:drawing>
          <wp:inline distT="0" distB="0" distL="0" distR="0">
            <wp:extent cx="4790440" cy="37141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5" w:leftChars="200" w:hanging="105" w:hangingChars="50"/>
      </w:pPr>
    </w:p>
    <w:p/>
    <w:p>
      <w:pPr>
        <w:pStyle w:val="4"/>
      </w:pPr>
      <w:bookmarkStart w:id="9" w:name="_Toc438459493"/>
      <w:r>
        <w:rPr>
          <w:rFonts w:hint="eastAsia"/>
        </w:rPr>
        <w:t>新建招标项目</w:t>
      </w:r>
      <w:bookmarkEnd w:id="2"/>
      <w:bookmarkEnd w:id="9"/>
    </w:p>
    <w:p>
      <w:r>
        <w:rPr>
          <w:rFonts w:hint="eastAsia"/>
        </w:rPr>
        <w:t>首先，找到安装完成的招标清单转换工具快捷按钮，双击打开招标清单转换工具</w:t>
      </w:r>
    </w:p>
    <w:p>
      <w:r>
        <w:drawing>
          <wp:inline distT="0" distB="0" distL="0" distR="0">
            <wp:extent cx="885190" cy="13900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点击下图中新建项目按钮</w:t>
      </w:r>
    </w:p>
    <w:p>
      <w:r>
        <w:drawing>
          <wp:inline distT="0" distB="0" distL="0" distR="0">
            <wp:extent cx="5038090" cy="28854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然后选择项目的工程领域，如下图所示：</w:t>
      </w:r>
    </w:p>
    <w:p>
      <w:pPr>
        <w:ind w:firstLine="0" w:firstLineChars="0"/>
      </w:pPr>
      <w:r>
        <w:drawing>
          <wp:inline distT="0" distB="0" distL="0" distR="0">
            <wp:extent cx="5038090" cy="28854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弹出的新建项目窗口中，填写项目信息下方的“项目编号”、“项目名称”和“建设单位”三个必填项。然后点击新增/删除单项工程按钮来新增/删除一个单项工程，再在该单项工程下新增/删除单位工程，多次点击可以新增/删除多个单项或单位工程。</w:t>
      </w:r>
    </w:p>
    <w:p>
      <w:pPr>
        <w:ind w:firstLine="0" w:firstLineChars="0"/>
      </w:pPr>
      <w:r>
        <w:drawing>
          <wp:inline distT="0" distB="0" distL="0" distR="0">
            <wp:extent cx="5372100" cy="465772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单项工程和单位工程都新增好之后点击确定按钮，下图中新增了两个单项工程：宿舍楼和教学楼，实际操作时请根据项目真实情况来选择单项工程和单位工程的数量。</w:t>
      </w:r>
    </w:p>
    <w:p>
      <w:pPr>
        <w:ind w:firstLine="0" w:firstLineChars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4836795</wp:posOffset>
            </wp:positionV>
            <wp:extent cx="5324475" cy="1933575"/>
            <wp:effectExtent l="0" t="0" r="9525" b="9525"/>
            <wp:wrapTopAndBottom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324475" cy="4648200"/>
            <wp:effectExtent l="0" t="0" r="952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点击上图确定按钮后，保存制作招标清单时产生的临时工程文件，进入下图清单转换主界面，首先要填写下图红框中基本信息并保存。</w:t>
      </w:r>
    </w:p>
    <w:p>
      <w:r>
        <w:rPr>
          <w:rFonts w:hint="eastAsia"/>
        </w:rPr>
        <w:t>注意：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为了方便演示，这里删除了上图中的教学楼单项工程，只留下了下图中显示的宿舍楼这一个单项工程。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在制作过程中，当遇到突然停电电脑关机等突发情况时，我们可以选择临时工程文件，继续断之的前招标清单制作。</w:t>
      </w:r>
    </w:p>
    <w:p>
      <w:pPr>
        <w:ind w:firstLine="0" w:firstLineChars="0"/>
      </w:pPr>
      <w:r>
        <w:drawing>
          <wp:inline distT="0" distB="0" distL="0" distR="0">
            <wp:extent cx="5274310" cy="32581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58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如果需要修改上图红框中的工程信息，可以左键点击项目名称，界面右侧会显示工程信息，双击要修改的内容进行修改，最后保存即可，如下图：</w:t>
      </w:r>
    </w:p>
    <w:p>
      <w:pPr>
        <w:ind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 xml:space="preserve">特别说明:工程信息界面不允许出现 </w:t>
      </w:r>
      <w:r>
        <w:rPr>
          <w:rFonts w:hint="eastAsia"/>
          <w:b/>
          <w:color w:val="FF0000"/>
          <w:sz w:val="30"/>
          <w:szCs w:val="30"/>
        </w:rPr>
        <w:t xml:space="preserve"> #、*、%</w:t>
      </w:r>
      <w:r>
        <w:rPr>
          <w:rFonts w:hint="eastAsia"/>
          <w:b/>
          <w:color w:val="FF0000"/>
          <w:sz w:val="24"/>
        </w:rPr>
        <w:t>等特殊字符</w:t>
      </w:r>
    </w:p>
    <w:p>
      <w:pPr>
        <w:pStyle w:val="4"/>
      </w:pPr>
      <w:bookmarkStart w:id="10" w:name="_Toc437795498"/>
      <w:bookmarkStart w:id="11" w:name="_Toc438459494"/>
      <w:r>
        <w:rPr>
          <w:rFonts w:hint="eastAsia"/>
        </w:rPr>
        <w:t>导入招标清单</w:t>
      </w:r>
      <w:bookmarkEnd w:id="10"/>
      <w:bookmarkEnd w:id="11"/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3981450</wp:posOffset>
            </wp:positionV>
            <wp:extent cx="5276850" cy="3810000"/>
            <wp:effectExtent l="0" t="0" r="0" b="0"/>
            <wp:wrapTopAndBottom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接下来开始导入excel清单（以分部分项清单为例），先选择需要导入清单的单位工程，</w:t>
      </w:r>
      <w:r>
        <w:drawing>
          <wp:inline distT="0" distB="0" distL="0" distR="0">
            <wp:extent cx="5274310" cy="3321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然后点击选择右侧需要导入的清单名称，最后导入对应的excel清单表格，如下图所示。</w:t>
      </w:r>
    </w:p>
    <w:p>
      <w:r>
        <w:rPr>
          <w:rFonts w:hint="eastAsia"/>
        </w:rPr>
        <w:t>如下图所示，在获取到分部分项excel报表后，需要将无用的行设置成无效行。界面正下方会显示该分部分项excel报表的总记录条数，有效行数和无效行数。设置完成之后，点击右下角导入数据按钮即可完成分部分项清单导入。</w:t>
      </w:r>
    </w:p>
    <w:p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注：系统会自动识别无效行和清单项，个别特殊的“不规范补充清单”行需要手动设置，建议核查（如：CB001这种补充清单）。</w:t>
      </w:r>
    </w:p>
    <w:p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同时清单里的分部标题需要手动设置为 “清单标题”，最后一个清单标题“措施项目手动调整为“</w:t>
      </w:r>
      <w:r>
        <w:rPr>
          <w:rFonts w:hint="eastAsia"/>
          <w:b/>
          <w:color w:val="FF0000"/>
          <w:sz w:val="24"/>
          <w:u w:val="single"/>
        </w:rPr>
        <w:t>无效行或者措施标题</w:t>
      </w:r>
      <w:r>
        <w:rPr>
          <w:rFonts w:hint="eastAsia"/>
          <w:color w:val="FF0000"/>
          <w:sz w:val="24"/>
        </w:rPr>
        <w:t>”,一定不能设为清单标题。</w:t>
      </w:r>
    </w:p>
    <w:p>
      <w:pPr>
        <w:ind w:firstLine="0" w:firstLineChars="0"/>
      </w:pPr>
      <w:r>
        <w:drawing>
          <wp:inline distT="0" distB="0" distL="0" distR="0">
            <wp:extent cx="5274310" cy="4124325"/>
            <wp:effectExtent l="0" t="0" r="2540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导入完成的清单名称前面会有一个绿色的对号标识，如下图，至此便完成了分部分项清单的导入操作。</w:t>
      </w:r>
    </w:p>
    <w:p>
      <w:pPr>
        <w:ind w:firstLine="0" w:firstLineChars="0"/>
      </w:pPr>
      <w:r>
        <w:drawing>
          <wp:inline distT="0" distB="0" distL="0" distR="0">
            <wp:extent cx="5274310" cy="325818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这里再演示导入一个清单（以其他项目清单与计价汇总表为例），操作如下：</w:t>
      </w:r>
    </w:p>
    <w:p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384810</wp:posOffset>
            </wp:positionV>
            <wp:extent cx="5274310" cy="3000375"/>
            <wp:effectExtent l="19050" t="0" r="2540" b="0"/>
            <wp:wrapTopAndBottom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选择单位工程后，选择要导入的清单名称，然后点击导入excel按钮，如下图：</w:t>
      </w:r>
    </w:p>
    <w:p/>
    <w:p>
      <w:pPr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388620</wp:posOffset>
            </wp:positionV>
            <wp:extent cx="5124450" cy="3571875"/>
            <wp:effectExtent l="0" t="0" r="0" b="9525"/>
            <wp:wrapTopAndBottom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找到相应的excel报表，点击打开按钮导入，如下图：</w:t>
      </w:r>
    </w:p>
    <w:p/>
    <w:p>
      <w:r>
        <w:rPr>
          <w:rFonts w:hint="eastAsia"/>
        </w:rPr>
        <w:t>如下图左下方是刚导入的土建工程的各个excel报表，选择与当前软件显示名称一致的excel报表，点击重新读取按钮，如下图：</w:t>
      </w:r>
    </w:p>
    <w:p/>
    <w:p>
      <w:pPr>
        <w:ind w:firstLine="0" w:firstLineChars="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331470</wp:posOffset>
            </wp:positionV>
            <wp:extent cx="5274310" cy="3733800"/>
            <wp:effectExtent l="0" t="0" r="2540" b="0"/>
            <wp:wrapTopAndBottom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hint="eastAsia"/>
        </w:rPr>
        <w:t>检查左侧系统识别出的类别是否与项目名称一致，不一致时需要手动调整一致</w:t>
      </w:r>
      <w:r>
        <w:rPr>
          <w:rFonts w:hint="eastAsia"/>
          <w:b/>
          <w:color w:val="FF0000"/>
        </w:rPr>
        <w:t>（此步骤非常重要，每张导入的表都需要准确对应属性，导入数据前请仔细检查,特别是</w:t>
      </w:r>
      <w:r>
        <w:rPr>
          <w:rFonts w:hint="eastAsia"/>
          <w:b/>
          <w:sz w:val="28"/>
          <w:szCs w:val="28"/>
        </w:rPr>
        <w:t>总价措施和规费税金</w:t>
      </w:r>
      <w:r>
        <w:rPr>
          <w:rFonts w:hint="eastAsia"/>
          <w:b/>
          <w:color w:val="FF0000"/>
        </w:rPr>
        <w:t>报表）</w:t>
      </w:r>
      <w:r>
        <w:rPr>
          <w:rFonts w:hint="eastAsia"/>
        </w:rPr>
        <w:t>，设置调整完成之后，点击导入数据按钮，如下图：</w:t>
      </w:r>
    </w:p>
    <w:p>
      <w:pPr>
        <w:ind w:firstLine="0" w:firstLineChars="0"/>
        <w:jc w:val="both"/>
      </w:pPr>
      <w:r>
        <w:drawing>
          <wp:inline distT="0" distB="0" distL="0" distR="0">
            <wp:extent cx="5324475" cy="3390900"/>
            <wp:effectExtent l="0" t="0" r="952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2286" cy="33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数据导入成功后，清单名称前会有个绿色的对号标识，至此便完成了“其他项目清单与计价汇总表”清单的导入。</w:t>
      </w:r>
    </w:p>
    <w:p>
      <w:r>
        <w:drawing>
          <wp:inline distT="0" distB="0" distL="0" distR="0">
            <wp:extent cx="5210175" cy="3197860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1157" cy="31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其他清单的导入操作与以上操作类似，需要注意的是，所有有数据的excel报表文件都需要导入软件相应的清单类型里。</w:t>
      </w:r>
    </w:p>
    <w:p>
      <w:pPr>
        <w:ind w:firstLine="482"/>
        <w:rPr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特别说明</w:t>
      </w:r>
      <w:r>
        <w:rPr>
          <w:rFonts w:hint="eastAsia"/>
          <w:color w:val="FF0000"/>
          <w:sz w:val="24"/>
        </w:rPr>
        <w:t>：所有Excel导入之前都需要查看是否有合并单元格的情况存在，必须保证报表表头上方的字母一个字母对应一列数据</w:t>
      </w:r>
    </w:p>
    <w:p>
      <w:pPr>
        <w:ind w:firstLine="480"/>
        <w:rPr>
          <w:color w:val="FF0000"/>
          <w:sz w:val="24"/>
        </w:rPr>
      </w:pPr>
    </w:p>
    <w:p>
      <w:pPr>
        <w:pStyle w:val="4"/>
      </w:pPr>
      <w:bookmarkStart w:id="12" w:name="_Toc437795499"/>
      <w:bookmarkStart w:id="13" w:name="_Toc438459495"/>
      <w:r>
        <w:rPr>
          <w:rFonts w:hint="eastAsia"/>
        </w:rPr>
        <w:t>生成招标清单</w:t>
      </w:r>
      <w:bookmarkEnd w:id="12"/>
      <w:bookmarkEnd w:id="13"/>
    </w:p>
    <w:p>
      <w:r>
        <w:rPr>
          <w:rFonts w:hint="eastAsia"/>
        </w:rPr>
        <w:t>当所有单位工程的清单都导入完成之后，点击开始生成按钮生成招标清单，如下图</w:t>
      </w:r>
    </w:p>
    <w:p>
      <w:r>
        <w:drawing>
          <wp:inline distT="0" distB="0" distL="0" distR="0">
            <wp:extent cx="5048250" cy="249555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4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选择清单要保存的地方，点击保存，如下图：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3369945</wp:posOffset>
            </wp:positionV>
            <wp:extent cx="5114925" cy="2409825"/>
            <wp:effectExtent l="0" t="0" r="9525" b="9525"/>
            <wp:wrapTopAndBottom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095875" cy="314325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5342" cy="31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注：08定额转换工具生成的招标清单格式是.eynzb，16定额转换工具生成的招标清单格式是eynzbx</w:t>
      </w:r>
    </w:p>
    <w:p>
      <w:r>
        <w:rPr>
          <w:rFonts w:hint="eastAsia"/>
        </w:rPr>
        <w:t>保存完生成的招标清单后点击退出系统，至此，便完成了招标清单的制作。</w:t>
      </w:r>
      <w:bookmarkStart w:id="14" w:name="_GoBack"/>
      <w:bookmarkEnd w:id="14"/>
      <w:r>
        <w:rPr>
          <w:rFonts w:asciiTheme="minorHAnsi" w:hAnsiTheme="minorHAnsi" w:eastAsiaTheme="minorEastAsia" w:cstheme="minorBidi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988695</wp:posOffset>
                </wp:positionV>
                <wp:extent cx="5845810" cy="904875"/>
                <wp:effectExtent l="0" t="0" r="2540" b="9525"/>
                <wp:wrapNone/>
                <wp:docPr id="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904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ind w:firstLine="557" w:firstLineChars="19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本地技术支持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:18538786662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13160133107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before="120" w:after="120"/>
                              <w:ind w:firstLine="557" w:firstLineChars="19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服务时间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:每周工作日08:0012:00,     14:00-18:00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15pt;margin-top:77.85pt;height:71.25pt;width:460.3pt;z-index:251669504;mso-width-relative:page;mso-height-relative:page;" fillcolor="#C0C0C0" filled="t" stroked="f" coordsize="21600,21600" o:gfxdata="UEsDBAoAAAAAAIdO4kAAAAAAAAAAAAAAAAAEAAAAZHJzL1BLAwQUAAAACACHTuJAEu/Kf9kAAAAL&#10;AQAADwAAAGRycy9kb3ducmV2LnhtbE2PwU7DMBBE70j8g7VIXFBrN6htGuL0QOEAnFr4ACfexhHx&#10;OsRuWv6e5QTH0Yxm3pTbi+/FhGPsAmlYzBUIpCbYjloNH+/PsxxETIas6QOhhm+MsK2ur0pT2HCm&#10;PU6H1AouoVgYDS6loZAyNg69ifMwILF3DKM3ieXYSjuaM5f7XmZKraQ3HfGCMwM+Omw+DyevYVrj&#10;S6xfn7De7eSdw/30RW9HrW9vFuoBRMJL+gvDLz6jQ8VMdTiRjaLXMLtX/CWxsVyuQXAi36gViFpD&#10;tskzkFUp/3+ofgBQSwMEFAAAAAgAh07iQMvArwwCAgAA8AMAAA4AAABkcnMvZTJvRG9jLnhtbK1T&#10;227bMAx9H7B/EPS+2AmcNTXiFF2KDgO6C9DuA2RZtoXJokYpsbuvHyWnWba9DYMAQRSpQ55Dansz&#10;DYYdFXoNtuLLRc6ZshIabbuKf326f7PhzAdhG2HAqoo/K89vdq9fbUdXqhX0YBqFjECsL0dX8T4E&#10;V2aZl70ahF+AU5acLeAgApnYZQ2KkdAHk63y/G02AjYOQSrv6fZudvJdwm9bJcPntvUqMFNxqi2k&#10;HdNexz3bbUXZoXC9lqcyxD9UMQhtKekZ6k4EwQ6o/4IatETw0IaFhCGDttVSJQ7EZpn/weaxF04l&#10;LiSOd2eZ/P+DlZ+OX5DppuKrFWdWDNSjJzUF9g4mVkR5RudLinp0FBcmuqY2J6rePYD85pmFfS9s&#10;p24RYeyVaKi8ZXyZXTydcXwEqceP0FAacQiQgKYWh6gdqcEIndr0fG5NLEXS5XpTrDdLcknyXefF&#10;5mqdUojy5bVDH94rGFg8VByp9QldHB98iNWI8iUkJvNgdHOvjUkGdvXeIDsKGpN9HtcJ/bcwY2Ow&#10;hfhsRow3iWZkNnMMUz2dZKuheSbCCPPY0TehQw/4g7ORRq7i/vtBoOLMfLAk2vWyKOKMJqNYX63I&#10;wEtPfekRVhJUxQNn83Ef5rk+ONRdT5nmNlm4JaFbnTSIHZmrOtVNY5WkOX2BOLeXdor69VF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S78p/2QAAAAsBAAAPAAAAAAAAAAEAIAAAACIAAABkcnMv&#10;ZG93bnJldi54bWxQSwECFAAUAAAACACHTuJAy8CvDAICAADwAwAADgAAAAAAAAABACAAAAAoAQAA&#10;ZHJzL2Uyb0RvYy54bWxQSwUGAAAAAAYABgBZAQAAn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20" w:after="120"/>
                        <w:ind w:firstLine="557" w:firstLineChars="19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本地技术支持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:18538786662 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13160133107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pacing w:before="120" w:after="120"/>
                        <w:ind w:firstLine="557" w:firstLineChars="19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服务时间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:每周工作日08:0012:00,     14:00-18:00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5D6C300B"/>
    <w:multiLevelType w:val="multilevel"/>
    <w:tmpl w:val="5D6C300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0E"/>
    <w:rsid w:val="00025937"/>
    <w:rsid w:val="001219C1"/>
    <w:rsid w:val="00230305"/>
    <w:rsid w:val="00270F52"/>
    <w:rsid w:val="00327CBD"/>
    <w:rsid w:val="0034620E"/>
    <w:rsid w:val="003C7AB3"/>
    <w:rsid w:val="003F12CF"/>
    <w:rsid w:val="00442C71"/>
    <w:rsid w:val="00483D59"/>
    <w:rsid w:val="004E3FAD"/>
    <w:rsid w:val="00531A49"/>
    <w:rsid w:val="005B51E4"/>
    <w:rsid w:val="00685057"/>
    <w:rsid w:val="00722CD8"/>
    <w:rsid w:val="007B4838"/>
    <w:rsid w:val="008070F2"/>
    <w:rsid w:val="008C251B"/>
    <w:rsid w:val="0094103D"/>
    <w:rsid w:val="00962680"/>
    <w:rsid w:val="009E2BCF"/>
    <w:rsid w:val="00A030C4"/>
    <w:rsid w:val="00A223F1"/>
    <w:rsid w:val="00A5437D"/>
    <w:rsid w:val="00A75D9B"/>
    <w:rsid w:val="00A76574"/>
    <w:rsid w:val="00B43EE5"/>
    <w:rsid w:val="00BB5F34"/>
    <w:rsid w:val="00BF4332"/>
    <w:rsid w:val="00C35DE8"/>
    <w:rsid w:val="00D448F8"/>
    <w:rsid w:val="00D70968"/>
    <w:rsid w:val="00E02C4A"/>
    <w:rsid w:val="00E54CAE"/>
    <w:rsid w:val="00EB38C4"/>
    <w:rsid w:val="4525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7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18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Char"/>
    <w:basedOn w:val="11"/>
    <w:link w:val="9"/>
    <w:uiPriority w:val="99"/>
    <w:rPr>
      <w:sz w:val="18"/>
      <w:szCs w:val="18"/>
    </w:rPr>
  </w:style>
  <w:style w:type="character" w:customStyle="1" w:styleId="13">
    <w:name w:val="页脚 Char"/>
    <w:basedOn w:val="11"/>
    <w:link w:val="8"/>
    <w:uiPriority w:val="99"/>
    <w:rPr>
      <w:sz w:val="18"/>
      <w:szCs w:val="18"/>
    </w:rPr>
  </w:style>
  <w:style w:type="character" w:customStyle="1" w:styleId="14">
    <w:name w:val="标题 1 Char"/>
    <w:basedOn w:val="11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5">
    <w:name w:val="标题 2 Char"/>
    <w:basedOn w:val="11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6">
    <w:name w:val="标题 3 Char"/>
    <w:basedOn w:val="11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7">
    <w:name w:val="标题 4 Char"/>
    <w:basedOn w:val="11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18">
    <w:name w:val="标题 5 Char"/>
    <w:basedOn w:val="11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styleId="19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20">
    <w:name w:val="批注框文本 Char"/>
    <w:basedOn w:val="11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315</Words>
  <Characters>1801</Characters>
  <Lines>15</Lines>
  <Paragraphs>4</Paragraphs>
  <TotalTime>124</TotalTime>
  <ScaleCrop>false</ScaleCrop>
  <LinksUpToDate>false</LinksUpToDate>
  <CharactersWithSpaces>2112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2016-11-16T01:50:00Z</dcterms:created>
  <dc:creator>NTKO</dc:creator>
  <cp:lastModifiedBy>NTKO</cp:lastModifiedBy>
  <dcterms:modified xsi:type="dcterms:W3CDTF">2019-06-21T07:34:53Z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